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AD5" w:rsidRDefault="00B31813" w:rsidP="00B31813">
      <w:pPr>
        <w:pStyle w:val="NoSpacing"/>
        <w:jc w:val="center"/>
        <w:rPr>
          <w:rFonts w:ascii="Arial Black" w:hAnsi="Arial Black"/>
          <w:b/>
          <w:sz w:val="24"/>
          <w:szCs w:val="24"/>
          <w:u w:val="single"/>
        </w:rPr>
      </w:pPr>
      <w:r>
        <w:rPr>
          <w:rFonts w:ascii="Arial Black" w:hAnsi="Arial Black"/>
          <w:b/>
          <w:sz w:val="24"/>
          <w:szCs w:val="24"/>
          <w:u w:val="single"/>
        </w:rPr>
        <w:t>CITIBANK, N.A. SOUTH AFRICA BRANCH</w:t>
      </w:r>
    </w:p>
    <w:p w:rsidR="00B31813" w:rsidRDefault="00B31813" w:rsidP="00B31813">
      <w:pPr>
        <w:pStyle w:val="NoSpacing"/>
        <w:jc w:val="center"/>
        <w:rPr>
          <w:rFonts w:ascii="Arial Black" w:hAnsi="Arial Black"/>
          <w:b/>
          <w:sz w:val="24"/>
          <w:szCs w:val="24"/>
          <w:u w:val="single"/>
        </w:rPr>
      </w:pPr>
    </w:p>
    <w:p w:rsidR="00B31813" w:rsidRDefault="00B31813" w:rsidP="00B31813">
      <w:pPr>
        <w:pStyle w:val="NoSpacing"/>
        <w:jc w:val="center"/>
        <w:rPr>
          <w:rFonts w:ascii="Arial Black" w:hAnsi="Arial Black"/>
          <w:b/>
          <w:sz w:val="24"/>
          <w:szCs w:val="24"/>
          <w:u w:val="single"/>
        </w:rPr>
      </w:pPr>
      <w:r>
        <w:rPr>
          <w:rFonts w:ascii="Arial Black" w:hAnsi="Arial Black"/>
          <w:b/>
          <w:sz w:val="24"/>
          <w:szCs w:val="24"/>
          <w:u w:val="single"/>
        </w:rPr>
        <w:t>QUARTERLY PUBLIC DISCLOSURE INFORMATION</w:t>
      </w:r>
    </w:p>
    <w:p w:rsidR="00B31813" w:rsidRDefault="00B31813" w:rsidP="00B31813">
      <w:pPr>
        <w:pStyle w:val="NoSpacing"/>
        <w:jc w:val="center"/>
        <w:rPr>
          <w:rFonts w:ascii="Arial Black" w:hAnsi="Arial Black"/>
          <w:b/>
          <w:sz w:val="24"/>
          <w:szCs w:val="24"/>
          <w:u w:val="single"/>
        </w:rPr>
      </w:pPr>
    </w:p>
    <w:p w:rsidR="00B31813" w:rsidRDefault="00B31813" w:rsidP="00B31813">
      <w:pPr>
        <w:pStyle w:val="NoSpacing"/>
        <w:jc w:val="both"/>
        <w:rPr>
          <w:rFonts w:ascii="Arial Black" w:hAnsi="Arial Black"/>
          <w:sz w:val="24"/>
          <w:szCs w:val="24"/>
        </w:rPr>
      </w:pPr>
    </w:p>
    <w:p w:rsidR="0013007C" w:rsidRDefault="007361EE" w:rsidP="00B31813">
      <w:pPr>
        <w:pStyle w:val="NoSpacing"/>
        <w:jc w:val="both"/>
        <w:rPr>
          <w:rFonts w:ascii="Arial Black" w:hAnsi="Arial Black"/>
          <w:sz w:val="24"/>
          <w:szCs w:val="24"/>
        </w:rPr>
      </w:pPr>
      <w:r>
        <w:rPr>
          <w:rFonts w:ascii="Arial Black" w:hAnsi="Arial Black"/>
          <w:sz w:val="24"/>
          <w:szCs w:val="24"/>
        </w:rPr>
        <w:t>Citibank, N.A. is</w:t>
      </w:r>
      <w:r w:rsidR="00ED37AB">
        <w:rPr>
          <w:rFonts w:ascii="Arial Black" w:hAnsi="Arial Black"/>
          <w:sz w:val="24"/>
          <w:szCs w:val="24"/>
        </w:rPr>
        <w:t xml:space="preserve"> incorporated in the United States of America and has a national bank charter under the National Bank Act of 1863 with the ability to open branches, establish subsidiaries and provide products and services to clients globally. </w:t>
      </w:r>
      <w:r w:rsidR="00DD00EF">
        <w:rPr>
          <w:rFonts w:ascii="Arial Black" w:hAnsi="Arial Black"/>
          <w:sz w:val="24"/>
          <w:szCs w:val="24"/>
        </w:rPr>
        <w:t>Citibank, N.A. is regulated by The Office of the Comptroller of Currency (OCC). This is the bank’s primary regulator and is authorized to examine and supervise the bank on a consolidated global basis. The Federal Deposit Insurance Corporation (FDIC) oversees the federal deposit insurance fund that insures deposits with the bank in the United States and therefore examines the bank as well.</w:t>
      </w:r>
    </w:p>
    <w:p w:rsidR="0013007C" w:rsidRDefault="0013007C" w:rsidP="00B31813">
      <w:pPr>
        <w:pStyle w:val="NoSpacing"/>
        <w:jc w:val="both"/>
        <w:rPr>
          <w:rFonts w:ascii="Arial Black" w:hAnsi="Arial Black"/>
          <w:sz w:val="24"/>
          <w:szCs w:val="24"/>
        </w:rPr>
      </w:pPr>
    </w:p>
    <w:p w:rsidR="00ED37AB" w:rsidRDefault="0013007C" w:rsidP="00B31813">
      <w:pPr>
        <w:pStyle w:val="NoSpacing"/>
        <w:jc w:val="both"/>
        <w:rPr>
          <w:rFonts w:ascii="Arial Black" w:hAnsi="Arial Black"/>
          <w:sz w:val="24"/>
          <w:szCs w:val="24"/>
        </w:rPr>
      </w:pPr>
      <w:r>
        <w:rPr>
          <w:rFonts w:ascii="Arial Black" w:hAnsi="Arial Black"/>
          <w:sz w:val="24"/>
          <w:szCs w:val="24"/>
        </w:rPr>
        <w:t>Citibank, N.A. is an indirect wholly owned subsidiary of Citigroup Inc.</w:t>
      </w:r>
      <w:r w:rsidR="00B81793">
        <w:rPr>
          <w:rFonts w:ascii="Arial Black" w:hAnsi="Arial Black"/>
          <w:sz w:val="24"/>
          <w:szCs w:val="24"/>
        </w:rPr>
        <w:t xml:space="preserve"> (Citi).</w:t>
      </w:r>
      <w:r>
        <w:rPr>
          <w:rFonts w:ascii="Arial Black" w:hAnsi="Arial Black"/>
          <w:sz w:val="24"/>
          <w:szCs w:val="24"/>
        </w:rPr>
        <w:t xml:space="preserve"> This </w:t>
      </w:r>
      <w:r w:rsidR="00E527C3">
        <w:rPr>
          <w:rFonts w:ascii="Arial Black" w:hAnsi="Arial Black"/>
          <w:sz w:val="24"/>
          <w:szCs w:val="24"/>
        </w:rPr>
        <w:t xml:space="preserve">financial holding </w:t>
      </w:r>
      <w:r>
        <w:rPr>
          <w:rFonts w:ascii="Arial Black" w:hAnsi="Arial Black"/>
          <w:sz w:val="24"/>
          <w:szCs w:val="24"/>
        </w:rPr>
        <w:t>company is</w:t>
      </w:r>
      <w:r w:rsidR="0094033D">
        <w:rPr>
          <w:rFonts w:ascii="Arial Black" w:hAnsi="Arial Black"/>
          <w:sz w:val="24"/>
          <w:szCs w:val="24"/>
        </w:rPr>
        <w:t xml:space="preserve"> domiciled in the United States of America and is</w:t>
      </w:r>
      <w:r>
        <w:rPr>
          <w:rFonts w:ascii="Arial Black" w:hAnsi="Arial Black"/>
          <w:sz w:val="24"/>
          <w:szCs w:val="24"/>
        </w:rPr>
        <w:t xml:space="preserve"> listed on the New York, Tokyo as well as the Mexico Stock Exchanges. The Federal Reserve</w:t>
      </w:r>
      <w:r w:rsidR="002065E9">
        <w:rPr>
          <w:rFonts w:ascii="Arial Black" w:hAnsi="Arial Black"/>
          <w:sz w:val="24"/>
          <w:szCs w:val="24"/>
        </w:rPr>
        <w:t xml:space="preserve"> (Fed)</w:t>
      </w:r>
      <w:r>
        <w:rPr>
          <w:rFonts w:ascii="Arial Black" w:hAnsi="Arial Black"/>
          <w:sz w:val="24"/>
          <w:szCs w:val="24"/>
        </w:rPr>
        <w:t xml:space="preserve"> is the primary prudential regulator of Citigroup Inc. </w:t>
      </w:r>
      <w:r w:rsidR="00DD00EF">
        <w:rPr>
          <w:rFonts w:ascii="Arial Black" w:hAnsi="Arial Black"/>
          <w:sz w:val="24"/>
          <w:szCs w:val="24"/>
        </w:rPr>
        <w:t xml:space="preserve">  </w:t>
      </w:r>
      <w:r w:rsidR="00ED37AB">
        <w:rPr>
          <w:rFonts w:ascii="Arial Black" w:hAnsi="Arial Black"/>
          <w:sz w:val="24"/>
          <w:szCs w:val="24"/>
        </w:rPr>
        <w:t xml:space="preserve"> </w:t>
      </w:r>
    </w:p>
    <w:p w:rsidR="00DD00EF" w:rsidRDefault="00DD00EF" w:rsidP="00B31813">
      <w:pPr>
        <w:pStyle w:val="NoSpacing"/>
        <w:jc w:val="both"/>
        <w:rPr>
          <w:rFonts w:ascii="Arial Black" w:hAnsi="Arial Black"/>
          <w:sz w:val="24"/>
          <w:szCs w:val="24"/>
        </w:rPr>
      </w:pPr>
    </w:p>
    <w:p w:rsidR="002065E9" w:rsidRDefault="00DD00EF" w:rsidP="00DD00EF">
      <w:pPr>
        <w:pStyle w:val="NoSpacing"/>
        <w:jc w:val="both"/>
        <w:rPr>
          <w:rFonts w:ascii="Arial Black" w:hAnsi="Arial Black"/>
          <w:sz w:val="24"/>
          <w:szCs w:val="24"/>
        </w:rPr>
      </w:pPr>
      <w:r>
        <w:rPr>
          <w:rFonts w:ascii="Arial Black" w:hAnsi="Arial Black"/>
          <w:sz w:val="24"/>
          <w:szCs w:val="24"/>
        </w:rPr>
        <w:t xml:space="preserve">Citibank, N.A. (Registration number 1995/007396/10) was </w:t>
      </w:r>
      <w:r w:rsidR="00B66B44">
        <w:rPr>
          <w:rFonts w:ascii="Arial Black" w:hAnsi="Arial Black"/>
          <w:sz w:val="24"/>
          <w:szCs w:val="24"/>
        </w:rPr>
        <w:t>authorized</w:t>
      </w:r>
      <w:r>
        <w:rPr>
          <w:rFonts w:ascii="Arial Black" w:hAnsi="Arial Black"/>
          <w:sz w:val="24"/>
          <w:szCs w:val="24"/>
        </w:rPr>
        <w:t xml:space="preserve"> by the Office of the Registrar of Banks at the South African Reserve Bank</w:t>
      </w:r>
      <w:r w:rsidR="002065E9">
        <w:rPr>
          <w:rFonts w:ascii="Arial Black" w:hAnsi="Arial Black"/>
          <w:sz w:val="24"/>
          <w:szCs w:val="24"/>
        </w:rPr>
        <w:t xml:space="preserve"> (SARB)</w:t>
      </w:r>
      <w:r>
        <w:rPr>
          <w:rFonts w:ascii="Arial Black" w:hAnsi="Arial Black"/>
          <w:sz w:val="24"/>
          <w:szCs w:val="24"/>
        </w:rPr>
        <w:t xml:space="preserve"> to conduct the business of a bank by means of a branch in South Africa</w:t>
      </w:r>
      <w:r w:rsidR="00B81793">
        <w:rPr>
          <w:rFonts w:ascii="Arial Black" w:hAnsi="Arial Black"/>
          <w:sz w:val="24"/>
          <w:szCs w:val="24"/>
        </w:rPr>
        <w:t xml:space="preserve"> in July 1995</w:t>
      </w:r>
      <w:r>
        <w:rPr>
          <w:rFonts w:ascii="Arial Black" w:hAnsi="Arial Black"/>
          <w:sz w:val="24"/>
          <w:szCs w:val="24"/>
        </w:rPr>
        <w:t xml:space="preserve">. </w:t>
      </w:r>
      <w:r w:rsidR="0013007C">
        <w:rPr>
          <w:rFonts w:ascii="Arial Black" w:hAnsi="Arial Black"/>
          <w:sz w:val="24"/>
          <w:szCs w:val="24"/>
        </w:rPr>
        <w:t xml:space="preserve">The local </w:t>
      </w:r>
      <w:r w:rsidR="00B66B44">
        <w:rPr>
          <w:rFonts w:ascii="Arial Black" w:hAnsi="Arial Black"/>
          <w:sz w:val="24"/>
          <w:szCs w:val="24"/>
        </w:rPr>
        <w:t>b</w:t>
      </w:r>
      <w:r w:rsidR="0013007C">
        <w:rPr>
          <w:rFonts w:ascii="Arial Black" w:hAnsi="Arial Black"/>
          <w:sz w:val="24"/>
          <w:szCs w:val="24"/>
        </w:rPr>
        <w:t xml:space="preserve">ranch is </w:t>
      </w:r>
      <w:r w:rsidR="0094033D">
        <w:rPr>
          <w:rFonts w:ascii="Arial Black" w:hAnsi="Arial Black"/>
          <w:sz w:val="24"/>
          <w:szCs w:val="24"/>
        </w:rPr>
        <w:t>supervised</w:t>
      </w:r>
      <w:r w:rsidR="0013007C">
        <w:rPr>
          <w:rFonts w:ascii="Arial Black" w:hAnsi="Arial Black"/>
          <w:sz w:val="24"/>
          <w:szCs w:val="24"/>
        </w:rPr>
        <w:t xml:space="preserve"> by the aforementioned Office</w:t>
      </w:r>
      <w:r w:rsidR="00B81793">
        <w:rPr>
          <w:rFonts w:ascii="Arial Black" w:hAnsi="Arial Black"/>
          <w:sz w:val="24"/>
          <w:szCs w:val="24"/>
        </w:rPr>
        <w:t xml:space="preserve"> of the SARB</w:t>
      </w:r>
      <w:r w:rsidR="0013007C">
        <w:rPr>
          <w:rFonts w:ascii="Arial Black" w:hAnsi="Arial Black"/>
          <w:sz w:val="24"/>
          <w:szCs w:val="24"/>
        </w:rPr>
        <w:t>. Th</w:t>
      </w:r>
      <w:r w:rsidR="00253726">
        <w:rPr>
          <w:rFonts w:ascii="Arial Black" w:hAnsi="Arial Black"/>
          <w:sz w:val="24"/>
          <w:szCs w:val="24"/>
        </w:rPr>
        <w:t xml:space="preserve">is </w:t>
      </w:r>
      <w:r w:rsidR="00B66B44">
        <w:rPr>
          <w:rFonts w:ascii="Arial Black" w:hAnsi="Arial Black"/>
          <w:sz w:val="24"/>
          <w:szCs w:val="24"/>
        </w:rPr>
        <w:t>requires that th</w:t>
      </w:r>
      <w:r w:rsidR="00253726">
        <w:rPr>
          <w:rFonts w:ascii="Arial Black" w:hAnsi="Arial Black"/>
          <w:sz w:val="24"/>
          <w:szCs w:val="24"/>
        </w:rPr>
        <w:t>e</w:t>
      </w:r>
      <w:r w:rsidR="00B66B44">
        <w:rPr>
          <w:rFonts w:ascii="Arial Black" w:hAnsi="Arial Black"/>
          <w:sz w:val="24"/>
          <w:szCs w:val="24"/>
        </w:rPr>
        <w:t xml:space="preserve"> branch </w:t>
      </w:r>
      <w:r w:rsidR="0094033D">
        <w:rPr>
          <w:rFonts w:ascii="Arial Black" w:hAnsi="Arial Black"/>
          <w:sz w:val="24"/>
          <w:szCs w:val="24"/>
        </w:rPr>
        <w:t>must adhere</w:t>
      </w:r>
      <w:r w:rsidR="00B66B44">
        <w:rPr>
          <w:rFonts w:ascii="Arial Black" w:hAnsi="Arial Black"/>
          <w:sz w:val="24"/>
          <w:szCs w:val="24"/>
        </w:rPr>
        <w:t xml:space="preserve"> to </w:t>
      </w:r>
      <w:r w:rsidR="002065E9">
        <w:rPr>
          <w:rFonts w:ascii="Arial Black" w:hAnsi="Arial Black"/>
          <w:sz w:val="24"/>
          <w:szCs w:val="24"/>
        </w:rPr>
        <w:t>the</w:t>
      </w:r>
      <w:r w:rsidR="00253726">
        <w:rPr>
          <w:rFonts w:ascii="Arial Black" w:hAnsi="Arial Black"/>
          <w:sz w:val="24"/>
          <w:szCs w:val="24"/>
        </w:rPr>
        <w:t xml:space="preserve"> various</w:t>
      </w:r>
      <w:r w:rsidR="00B66B44">
        <w:rPr>
          <w:rFonts w:ascii="Arial Black" w:hAnsi="Arial Black"/>
          <w:sz w:val="24"/>
          <w:szCs w:val="24"/>
        </w:rPr>
        <w:t xml:space="preserve"> prudential requirements in terms of the Banks Act of 1994, as amended and</w:t>
      </w:r>
      <w:r w:rsidR="0094033D">
        <w:rPr>
          <w:rFonts w:ascii="Arial Black" w:hAnsi="Arial Black"/>
          <w:sz w:val="24"/>
          <w:szCs w:val="24"/>
        </w:rPr>
        <w:t xml:space="preserve"> is subject to</w:t>
      </w:r>
      <w:r w:rsidR="00253726">
        <w:rPr>
          <w:rFonts w:ascii="Arial Black" w:hAnsi="Arial Black"/>
          <w:sz w:val="24"/>
          <w:szCs w:val="24"/>
        </w:rPr>
        <w:t xml:space="preserve"> all</w:t>
      </w:r>
      <w:r w:rsidR="0094033D">
        <w:rPr>
          <w:rFonts w:ascii="Arial Black" w:hAnsi="Arial Black"/>
          <w:sz w:val="24"/>
          <w:szCs w:val="24"/>
        </w:rPr>
        <w:t xml:space="preserve"> regulatory</w:t>
      </w:r>
      <w:r w:rsidR="00B66B44">
        <w:rPr>
          <w:rFonts w:ascii="Arial Black" w:hAnsi="Arial Black"/>
          <w:sz w:val="24"/>
          <w:szCs w:val="24"/>
        </w:rPr>
        <w:t xml:space="preserve"> reporting obligations</w:t>
      </w:r>
      <w:r w:rsidR="002065E9">
        <w:rPr>
          <w:rFonts w:ascii="Arial Black" w:hAnsi="Arial Black"/>
          <w:sz w:val="24"/>
          <w:szCs w:val="24"/>
        </w:rPr>
        <w:t xml:space="preserve"> </w:t>
      </w:r>
      <w:r w:rsidR="00B81793">
        <w:rPr>
          <w:rFonts w:ascii="Arial Black" w:hAnsi="Arial Black"/>
          <w:sz w:val="24"/>
          <w:szCs w:val="24"/>
        </w:rPr>
        <w:t>set out by SARB</w:t>
      </w:r>
      <w:r w:rsidR="00B66B44">
        <w:rPr>
          <w:rFonts w:ascii="Arial Black" w:hAnsi="Arial Black"/>
          <w:sz w:val="24"/>
          <w:szCs w:val="24"/>
        </w:rPr>
        <w:t xml:space="preserve"> under Basel III. </w:t>
      </w:r>
    </w:p>
    <w:p w:rsidR="002065E9" w:rsidRDefault="002065E9" w:rsidP="00DD00EF">
      <w:pPr>
        <w:pStyle w:val="NoSpacing"/>
        <w:jc w:val="both"/>
        <w:rPr>
          <w:rFonts w:ascii="Arial Black" w:hAnsi="Arial Black"/>
          <w:sz w:val="24"/>
          <w:szCs w:val="24"/>
        </w:rPr>
      </w:pPr>
    </w:p>
    <w:p w:rsidR="00F7397A" w:rsidRDefault="0094033D" w:rsidP="00DD00EF">
      <w:pPr>
        <w:pStyle w:val="NoSpacing"/>
        <w:jc w:val="both"/>
        <w:rPr>
          <w:rFonts w:ascii="Arial Black" w:hAnsi="Arial Black"/>
          <w:sz w:val="24"/>
          <w:szCs w:val="24"/>
        </w:rPr>
      </w:pPr>
      <w:r>
        <w:rPr>
          <w:rFonts w:ascii="Arial Black" w:hAnsi="Arial Black"/>
          <w:sz w:val="24"/>
          <w:szCs w:val="24"/>
        </w:rPr>
        <w:t>Members of the</w:t>
      </w:r>
      <w:r w:rsidR="00E05047">
        <w:rPr>
          <w:rFonts w:ascii="Arial Black" w:hAnsi="Arial Black"/>
          <w:sz w:val="24"/>
          <w:szCs w:val="24"/>
        </w:rPr>
        <w:t xml:space="preserve"> general</w:t>
      </w:r>
      <w:r>
        <w:rPr>
          <w:rFonts w:ascii="Arial Black" w:hAnsi="Arial Black"/>
          <w:sz w:val="24"/>
          <w:szCs w:val="24"/>
        </w:rPr>
        <w:t xml:space="preserve"> public may access</w:t>
      </w:r>
      <w:r w:rsidR="00E527C3">
        <w:rPr>
          <w:rFonts w:ascii="Arial Black" w:hAnsi="Arial Black"/>
          <w:sz w:val="24"/>
          <w:szCs w:val="24"/>
        </w:rPr>
        <w:t xml:space="preserve"> further comprehensive</w:t>
      </w:r>
      <w:r>
        <w:rPr>
          <w:rFonts w:ascii="Arial Black" w:hAnsi="Arial Black"/>
          <w:sz w:val="24"/>
          <w:szCs w:val="24"/>
        </w:rPr>
        <w:t xml:space="preserve"> information </w:t>
      </w:r>
      <w:r w:rsidR="00E527C3">
        <w:rPr>
          <w:rFonts w:ascii="Arial Black" w:hAnsi="Arial Black"/>
          <w:sz w:val="24"/>
          <w:szCs w:val="24"/>
        </w:rPr>
        <w:t xml:space="preserve">as </w:t>
      </w:r>
      <w:r>
        <w:rPr>
          <w:rFonts w:ascii="Arial Black" w:hAnsi="Arial Black"/>
          <w:sz w:val="24"/>
          <w:szCs w:val="24"/>
        </w:rPr>
        <w:t>contained in the</w:t>
      </w:r>
      <w:r w:rsidR="00E527C3">
        <w:rPr>
          <w:rFonts w:ascii="Arial Black" w:hAnsi="Arial Black"/>
          <w:sz w:val="24"/>
          <w:szCs w:val="24"/>
        </w:rPr>
        <w:t xml:space="preserve"> Citi</w:t>
      </w:r>
      <w:r>
        <w:rPr>
          <w:rFonts w:ascii="Arial Black" w:hAnsi="Arial Black"/>
          <w:sz w:val="24"/>
          <w:szCs w:val="24"/>
        </w:rPr>
        <w:t xml:space="preserve"> Annual Report, as well as view regulatory filings</w:t>
      </w:r>
      <w:r w:rsidR="00B81793">
        <w:rPr>
          <w:rFonts w:ascii="Arial Black" w:hAnsi="Arial Black"/>
          <w:sz w:val="24"/>
          <w:szCs w:val="24"/>
        </w:rPr>
        <w:t xml:space="preserve"> of Citi and the bank</w:t>
      </w:r>
      <w:r w:rsidR="00F7397A">
        <w:rPr>
          <w:rFonts w:ascii="Arial Black" w:hAnsi="Arial Black"/>
          <w:sz w:val="24"/>
          <w:szCs w:val="24"/>
        </w:rPr>
        <w:t xml:space="preserve"> by visiting </w:t>
      </w:r>
      <w:hyperlink r:id="rId7" w:history="1">
        <w:r w:rsidR="00F7397A" w:rsidRPr="0060137E">
          <w:rPr>
            <w:rStyle w:val="Hyperlink"/>
            <w:rFonts w:ascii="Arial Black" w:hAnsi="Arial Black"/>
            <w:sz w:val="24"/>
            <w:szCs w:val="24"/>
          </w:rPr>
          <w:t>www.citigroup.com</w:t>
        </w:r>
      </w:hyperlink>
    </w:p>
    <w:p w:rsidR="00DD00EF" w:rsidRDefault="00DD00EF" w:rsidP="00B31813">
      <w:pPr>
        <w:pStyle w:val="NoSpacing"/>
        <w:jc w:val="both"/>
        <w:rPr>
          <w:rFonts w:ascii="Arial Black" w:hAnsi="Arial Black"/>
          <w:sz w:val="24"/>
          <w:szCs w:val="24"/>
        </w:rPr>
      </w:pPr>
    </w:p>
    <w:p w:rsidR="00ED37AB" w:rsidRDefault="00ED37AB" w:rsidP="00ED37AB">
      <w:pPr>
        <w:pStyle w:val="NoSpacing"/>
        <w:jc w:val="both"/>
        <w:rPr>
          <w:rFonts w:ascii="Arial Black" w:hAnsi="Arial Black"/>
          <w:sz w:val="24"/>
          <w:szCs w:val="24"/>
        </w:rPr>
      </w:pPr>
      <w:r>
        <w:rPr>
          <w:rFonts w:ascii="Arial Black" w:hAnsi="Arial Black"/>
          <w:sz w:val="24"/>
          <w:szCs w:val="24"/>
        </w:rPr>
        <w:t>The following relevant</w:t>
      </w:r>
      <w:r w:rsidR="000E4DC4">
        <w:rPr>
          <w:rFonts w:ascii="Arial Black" w:hAnsi="Arial Black"/>
          <w:sz w:val="24"/>
          <w:szCs w:val="24"/>
        </w:rPr>
        <w:t xml:space="preserve"> Pillar 3</w:t>
      </w:r>
      <w:r w:rsidR="002065E9">
        <w:rPr>
          <w:rFonts w:ascii="Arial Black" w:hAnsi="Arial Black"/>
          <w:sz w:val="24"/>
          <w:szCs w:val="24"/>
        </w:rPr>
        <w:t xml:space="preserve"> public disclosure</w:t>
      </w:r>
      <w:r w:rsidR="00E05047">
        <w:rPr>
          <w:rFonts w:ascii="Arial Black" w:hAnsi="Arial Black"/>
          <w:sz w:val="24"/>
          <w:szCs w:val="24"/>
        </w:rPr>
        <w:t xml:space="preserve"> information is provided by Citibank, N.A. </w:t>
      </w:r>
      <w:r>
        <w:rPr>
          <w:rFonts w:ascii="Arial Black" w:hAnsi="Arial Black"/>
          <w:sz w:val="24"/>
          <w:szCs w:val="24"/>
        </w:rPr>
        <w:t>South Africa Branch, in terms of the</w:t>
      </w:r>
      <w:r w:rsidR="002065E9">
        <w:rPr>
          <w:rFonts w:ascii="Arial Black" w:hAnsi="Arial Black"/>
          <w:sz w:val="24"/>
          <w:szCs w:val="24"/>
        </w:rPr>
        <w:t xml:space="preserve"> </w:t>
      </w:r>
      <w:r>
        <w:rPr>
          <w:rFonts w:ascii="Arial Black" w:hAnsi="Arial Black"/>
          <w:sz w:val="24"/>
          <w:szCs w:val="24"/>
        </w:rPr>
        <w:t xml:space="preserve">provisions </w:t>
      </w:r>
      <w:r w:rsidR="002065E9">
        <w:rPr>
          <w:rFonts w:ascii="Arial Black" w:hAnsi="Arial Black"/>
          <w:sz w:val="24"/>
          <w:szCs w:val="24"/>
        </w:rPr>
        <w:t xml:space="preserve">contained in the </w:t>
      </w:r>
      <w:r>
        <w:rPr>
          <w:rFonts w:ascii="Arial Black" w:hAnsi="Arial Black"/>
          <w:sz w:val="24"/>
          <w:szCs w:val="24"/>
        </w:rPr>
        <w:t>Regulations relating to Banks.</w:t>
      </w:r>
      <w:r w:rsidR="002065E9">
        <w:rPr>
          <w:rFonts w:ascii="Arial Black" w:hAnsi="Arial Black"/>
          <w:sz w:val="24"/>
          <w:szCs w:val="24"/>
        </w:rPr>
        <w:t xml:space="preserve"> </w:t>
      </w:r>
      <w:r w:rsidR="000E4DC4">
        <w:rPr>
          <w:rFonts w:ascii="Arial Black" w:hAnsi="Arial Black"/>
          <w:sz w:val="24"/>
          <w:szCs w:val="24"/>
        </w:rPr>
        <w:t xml:space="preserve">This information is consistent with information reported to the SARB. </w:t>
      </w:r>
      <w:r w:rsidR="002065E9">
        <w:rPr>
          <w:rFonts w:ascii="Arial Black" w:hAnsi="Arial Black"/>
          <w:sz w:val="24"/>
          <w:szCs w:val="24"/>
        </w:rPr>
        <w:t>Further selective information on the monthly filings by the</w:t>
      </w:r>
      <w:r w:rsidR="00E05047">
        <w:rPr>
          <w:rFonts w:ascii="Arial Black" w:hAnsi="Arial Black"/>
          <w:sz w:val="24"/>
          <w:szCs w:val="24"/>
        </w:rPr>
        <w:t xml:space="preserve"> local</w:t>
      </w:r>
      <w:r w:rsidR="002065E9">
        <w:rPr>
          <w:rFonts w:ascii="Arial Black" w:hAnsi="Arial Black"/>
          <w:sz w:val="24"/>
          <w:szCs w:val="24"/>
        </w:rPr>
        <w:t xml:space="preserve"> branch</w:t>
      </w:r>
      <w:r w:rsidR="00E05047">
        <w:rPr>
          <w:rFonts w:ascii="Arial Black" w:hAnsi="Arial Black"/>
          <w:sz w:val="24"/>
          <w:szCs w:val="24"/>
        </w:rPr>
        <w:t xml:space="preserve"> to the SARB</w:t>
      </w:r>
      <w:r w:rsidR="002065E9">
        <w:rPr>
          <w:rFonts w:ascii="Arial Black" w:hAnsi="Arial Black"/>
          <w:sz w:val="24"/>
          <w:szCs w:val="24"/>
        </w:rPr>
        <w:t xml:space="preserve"> may be obtained </w:t>
      </w:r>
      <w:r w:rsidR="00E05047">
        <w:rPr>
          <w:rFonts w:ascii="Arial Black" w:hAnsi="Arial Black"/>
          <w:sz w:val="24"/>
          <w:szCs w:val="24"/>
        </w:rPr>
        <w:t xml:space="preserve">by visiting </w:t>
      </w:r>
      <w:hyperlink r:id="rId8" w:history="1">
        <w:r w:rsidR="00F7397A" w:rsidRPr="0060137E">
          <w:rPr>
            <w:rStyle w:val="Hyperlink"/>
            <w:rFonts w:ascii="Arial Black" w:hAnsi="Arial Black"/>
            <w:sz w:val="24"/>
            <w:szCs w:val="24"/>
          </w:rPr>
          <w:t>www.resbank.co.za</w:t>
        </w:r>
      </w:hyperlink>
    </w:p>
    <w:p w:rsidR="00B03206" w:rsidRDefault="00143212" w:rsidP="00B31813">
      <w:pPr>
        <w:pStyle w:val="NoSpacing"/>
        <w:jc w:val="both"/>
        <w:rPr>
          <w:rFonts w:ascii="Arial Black" w:hAnsi="Arial Black"/>
          <w:sz w:val="24"/>
          <w:szCs w:val="24"/>
        </w:rPr>
      </w:pPr>
      <w:r>
        <w:rPr>
          <w:rFonts w:ascii="Arial Black" w:hAnsi="Arial Black"/>
          <w:sz w:val="24"/>
          <w:szCs w:val="24"/>
        </w:rPr>
        <w:lastRenderedPageBreak/>
        <w:t>Pillar III Disclosure</w:t>
      </w:r>
    </w:p>
    <w:p w:rsidR="00B03206" w:rsidRDefault="007455BD" w:rsidP="00B31813">
      <w:pPr>
        <w:pStyle w:val="NoSpacing"/>
        <w:jc w:val="both"/>
        <w:rPr>
          <w:rFonts w:ascii="Arial Black" w:hAnsi="Arial Black"/>
          <w:sz w:val="24"/>
          <w:szCs w:val="24"/>
        </w:rPr>
      </w:pPr>
      <w:r>
        <w:rPr>
          <w:rFonts w:ascii="Arial Black" w:hAnsi="Arial Black"/>
          <w:sz w:val="24"/>
          <w:szCs w:val="24"/>
        </w:rPr>
        <w:t>3</w:t>
      </w:r>
      <w:r w:rsidR="00E32D37">
        <w:rPr>
          <w:rFonts w:ascii="Arial Black" w:hAnsi="Arial Black"/>
          <w:sz w:val="24"/>
          <w:szCs w:val="24"/>
        </w:rPr>
        <w:t>0</w:t>
      </w:r>
      <w:r w:rsidR="005637BF">
        <w:rPr>
          <w:rFonts w:ascii="Arial Black" w:hAnsi="Arial Black"/>
          <w:sz w:val="24"/>
          <w:szCs w:val="24"/>
        </w:rPr>
        <w:t xml:space="preserve"> </w:t>
      </w:r>
      <w:r w:rsidR="00E32D37">
        <w:rPr>
          <w:rFonts w:ascii="Arial Black" w:hAnsi="Arial Black"/>
          <w:sz w:val="24"/>
          <w:szCs w:val="24"/>
        </w:rPr>
        <w:t>June</w:t>
      </w:r>
      <w:r w:rsidR="005637BF">
        <w:rPr>
          <w:rFonts w:ascii="Arial Black" w:hAnsi="Arial Black"/>
          <w:sz w:val="24"/>
          <w:szCs w:val="24"/>
        </w:rPr>
        <w:t xml:space="preserve"> </w:t>
      </w:r>
      <w:r w:rsidR="00AE2CCC">
        <w:rPr>
          <w:rFonts w:ascii="Arial Black" w:hAnsi="Arial Black"/>
          <w:sz w:val="24"/>
          <w:szCs w:val="24"/>
        </w:rPr>
        <w:t>2016</w:t>
      </w:r>
    </w:p>
    <w:p w:rsidR="00E05047" w:rsidRDefault="00E05047" w:rsidP="00B31813">
      <w:pPr>
        <w:pStyle w:val="NoSpacing"/>
        <w:jc w:val="both"/>
        <w:rPr>
          <w:rFonts w:ascii="Arial Black" w:hAnsi="Arial Black"/>
          <w:sz w:val="24"/>
          <w:szCs w:val="24"/>
        </w:rPr>
      </w:pPr>
    </w:p>
    <w:p w:rsidR="00B03206" w:rsidRPr="00B03206" w:rsidRDefault="00BD038B" w:rsidP="00B31813">
      <w:pPr>
        <w:pStyle w:val="NoSpacing"/>
        <w:jc w:val="both"/>
        <w:rPr>
          <w:rFonts w:ascii="Arial Black" w:hAnsi="Arial Black"/>
          <w:b/>
          <w:sz w:val="24"/>
          <w:szCs w:val="24"/>
          <w:u w:val="single"/>
        </w:rPr>
      </w:pPr>
      <w:r>
        <w:rPr>
          <w:rFonts w:ascii="Arial Black" w:hAnsi="Arial Black"/>
          <w:b/>
          <w:sz w:val="24"/>
          <w:szCs w:val="24"/>
          <w:u w:val="single"/>
        </w:rPr>
        <w:t xml:space="preserve">I. </w:t>
      </w:r>
      <w:r w:rsidR="00B03206" w:rsidRPr="00B03206">
        <w:rPr>
          <w:rFonts w:ascii="Arial Black" w:hAnsi="Arial Black"/>
          <w:b/>
          <w:sz w:val="24"/>
          <w:szCs w:val="24"/>
          <w:u w:val="single"/>
        </w:rPr>
        <w:t>Capital</w:t>
      </w:r>
    </w:p>
    <w:p w:rsidR="00B03206" w:rsidRDefault="00B03206" w:rsidP="00B31813">
      <w:pPr>
        <w:pStyle w:val="NoSpacing"/>
        <w:jc w:val="both"/>
        <w:rPr>
          <w:rFonts w:ascii="Arial Black" w:hAnsi="Arial Black"/>
          <w:sz w:val="24"/>
          <w:szCs w:val="24"/>
        </w:rPr>
      </w:pPr>
    </w:p>
    <w:p w:rsidR="00B31813" w:rsidRDefault="00E05047" w:rsidP="00B31813">
      <w:pPr>
        <w:pStyle w:val="NoSpacing"/>
        <w:jc w:val="both"/>
        <w:rPr>
          <w:rFonts w:ascii="Arial Black" w:hAnsi="Arial Black"/>
          <w:sz w:val="24"/>
          <w:szCs w:val="24"/>
        </w:rPr>
      </w:pPr>
      <w:r>
        <w:rPr>
          <w:rFonts w:ascii="Arial Black" w:hAnsi="Arial Black"/>
          <w:sz w:val="24"/>
          <w:szCs w:val="24"/>
        </w:rPr>
        <w:t>The table</w:t>
      </w:r>
      <w:r w:rsidR="00CE7C8D">
        <w:rPr>
          <w:rFonts w:ascii="Arial Black" w:hAnsi="Arial Black"/>
          <w:sz w:val="24"/>
          <w:szCs w:val="24"/>
        </w:rPr>
        <w:t>s</w:t>
      </w:r>
      <w:r>
        <w:rPr>
          <w:rFonts w:ascii="Arial Black" w:hAnsi="Arial Black"/>
          <w:sz w:val="24"/>
          <w:szCs w:val="24"/>
        </w:rPr>
        <w:t xml:space="preserve"> below illustrate the c</w:t>
      </w:r>
      <w:r w:rsidR="00B03206">
        <w:rPr>
          <w:rFonts w:ascii="Arial Black" w:hAnsi="Arial Black"/>
          <w:sz w:val="24"/>
          <w:szCs w:val="24"/>
        </w:rPr>
        <w:t>omposition of the branch</w:t>
      </w:r>
      <w:r w:rsidR="00CE7C8D">
        <w:rPr>
          <w:rFonts w:ascii="Arial Black" w:hAnsi="Arial Black"/>
          <w:sz w:val="24"/>
          <w:szCs w:val="24"/>
        </w:rPr>
        <w:t xml:space="preserve"> qualifying</w:t>
      </w:r>
      <w:r w:rsidR="00B03206">
        <w:rPr>
          <w:rFonts w:ascii="Arial Black" w:hAnsi="Arial Black"/>
          <w:sz w:val="24"/>
          <w:szCs w:val="24"/>
        </w:rPr>
        <w:t xml:space="preserve"> capital</w:t>
      </w:r>
      <w:r w:rsidR="00CE7C8D">
        <w:rPr>
          <w:rFonts w:ascii="Arial Black" w:hAnsi="Arial Black"/>
          <w:sz w:val="24"/>
          <w:szCs w:val="24"/>
        </w:rPr>
        <w:t>, the risk weighted asset components</w:t>
      </w:r>
      <w:r w:rsidR="00B03206">
        <w:rPr>
          <w:rFonts w:ascii="Arial Black" w:hAnsi="Arial Black"/>
          <w:sz w:val="24"/>
          <w:szCs w:val="24"/>
        </w:rPr>
        <w:t xml:space="preserve"> and the related capital adequacy ratios:</w:t>
      </w:r>
    </w:p>
    <w:p w:rsidR="00B03206" w:rsidRDefault="00B03206" w:rsidP="00B31813">
      <w:pPr>
        <w:pStyle w:val="NoSpacing"/>
        <w:jc w:val="both"/>
        <w:rPr>
          <w:rFonts w:ascii="Arial Black" w:hAnsi="Arial Black"/>
          <w:sz w:val="24"/>
          <w:szCs w:val="24"/>
        </w:rPr>
      </w:pPr>
    </w:p>
    <w:p w:rsidR="00B03206" w:rsidRDefault="00B03206" w:rsidP="00B31813">
      <w:pPr>
        <w:pStyle w:val="NoSpacing"/>
        <w:jc w:val="both"/>
        <w:rPr>
          <w:rFonts w:ascii="Arial Black" w:hAnsi="Arial Black"/>
          <w:sz w:val="24"/>
          <w:szCs w:val="24"/>
        </w:rPr>
      </w:pPr>
    </w:p>
    <w:tbl>
      <w:tblPr>
        <w:tblStyle w:val="TableGrid"/>
        <w:tblW w:w="9464" w:type="dxa"/>
        <w:tblLook w:val="04A0" w:firstRow="1" w:lastRow="0" w:firstColumn="1" w:lastColumn="0" w:noHBand="0" w:noVBand="1"/>
      </w:tblPr>
      <w:tblGrid>
        <w:gridCol w:w="6629"/>
        <w:gridCol w:w="2835"/>
      </w:tblGrid>
      <w:tr w:rsidR="00CE7C8D" w:rsidTr="00F90ADF">
        <w:tc>
          <w:tcPr>
            <w:tcW w:w="6629" w:type="dxa"/>
            <w:shd w:val="clear" w:color="auto" w:fill="C6D9F1" w:themeFill="text2" w:themeFillTint="33"/>
          </w:tcPr>
          <w:p w:rsidR="00CE7C8D" w:rsidRDefault="001D38ED" w:rsidP="00B31813">
            <w:pPr>
              <w:pStyle w:val="NoSpacing"/>
              <w:jc w:val="both"/>
              <w:rPr>
                <w:rFonts w:ascii="Arial Black" w:hAnsi="Arial Black"/>
                <w:sz w:val="24"/>
                <w:szCs w:val="24"/>
              </w:rPr>
            </w:pPr>
            <w:r>
              <w:rPr>
                <w:rFonts w:ascii="Arial Black" w:hAnsi="Arial Black"/>
                <w:sz w:val="24"/>
                <w:szCs w:val="24"/>
              </w:rPr>
              <w:t xml:space="preserve">Capital components </w:t>
            </w:r>
            <w:r w:rsidR="00CE7C8D">
              <w:rPr>
                <w:rFonts w:ascii="Arial Black" w:hAnsi="Arial Black"/>
                <w:sz w:val="24"/>
                <w:szCs w:val="24"/>
              </w:rPr>
              <w:t>ZAR ‘000</w:t>
            </w:r>
          </w:p>
        </w:tc>
        <w:tc>
          <w:tcPr>
            <w:tcW w:w="2835" w:type="dxa"/>
            <w:shd w:val="clear" w:color="auto" w:fill="C6D9F1" w:themeFill="text2" w:themeFillTint="33"/>
          </w:tcPr>
          <w:p w:rsidR="00CE7C8D" w:rsidRPr="00CE7C8D" w:rsidRDefault="00CE7C8D" w:rsidP="00E32D37">
            <w:pPr>
              <w:pStyle w:val="NoSpacing"/>
              <w:jc w:val="both"/>
              <w:rPr>
                <w:rFonts w:ascii="Arial Black" w:hAnsi="Arial Black"/>
                <w:b/>
                <w:outline/>
                <w:color w:val="C0504D" w:themeColor="accent2"/>
                <w:sz w:val="24"/>
                <w:szCs w:val="24"/>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sidRPr="00CE7C8D">
              <w:rPr>
                <w:rFonts w:ascii="Arial Black" w:hAnsi="Arial Black"/>
                <w:b/>
                <w:outline/>
                <w:color w:val="C0504D" w:themeColor="accent2"/>
                <w:sz w:val="24"/>
                <w:szCs w:val="24"/>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3</w:t>
            </w:r>
            <w:r w:rsidR="00E32D37">
              <w:rPr>
                <w:rFonts w:ascii="Arial Black" w:hAnsi="Arial Black"/>
                <w:b/>
                <w:outline/>
                <w:color w:val="C0504D" w:themeColor="accent2"/>
                <w:sz w:val="24"/>
                <w:szCs w:val="24"/>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0 June</w:t>
            </w:r>
            <w:r w:rsidR="00F90ADF">
              <w:rPr>
                <w:rFonts w:ascii="Arial Black" w:hAnsi="Arial Black"/>
                <w:b/>
                <w:outline/>
                <w:color w:val="C0504D" w:themeColor="accent2"/>
                <w:sz w:val="24"/>
                <w:szCs w:val="24"/>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 xml:space="preserve"> 2</w:t>
            </w:r>
            <w:r w:rsidR="00AE2CCC">
              <w:rPr>
                <w:rFonts w:ascii="Arial Black" w:hAnsi="Arial Black"/>
                <w:b/>
                <w:outline/>
                <w:color w:val="C0504D" w:themeColor="accent2"/>
                <w:sz w:val="24"/>
                <w:szCs w:val="24"/>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016</w:t>
            </w:r>
          </w:p>
        </w:tc>
      </w:tr>
      <w:tr w:rsidR="00E53661" w:rsidTr="005F487F">
        <w:tc>
          <w:tcPr>
            <w:tcW w:w="6629" w:type="dxa"/>
          </w:tcPr>
          <w:p w:rsidR="00E53661" w:rsidRPr="000E4DC4" w:rsidRDefault="00E53661" w:rsidP="00B31813">
            <w:pPr>
              <w:pStyle w:val="NoSpacing"/>
              <w:jc w:val="both"/>
              <w:rPr>
                <w:rFonts w:ascii="Arial Black" w:hAnsi="Arial Black"/>
                <w:sz w:val="24"/>
                <w:szCs w:val="24"/>
              </w:rPr>
            </w:pPr>
            <w:r w:rsidRPr="000E4DC4">
              <w:rPr>
                <w:rFonts w:ascii="Arial Black" w:hAnsi="Arial Black"/>
                <w:sz w:val="24"/>
                <w:szCs w:val="24"/>
              </w:rPr>
              <w:t>Endowment capital</w:t>
            </w:r>
          </w:p>
        </w:tc>
        <w:tc>
          <w:tcPr>
            <w:tcW w:w="2835" w:type="dxa"/>
            <w:vAlign w:val="center"/>
          </w:tcPr>
          <w:p w:rsidR="00E53661" w:rsidRDefault="00E53661">
            <w:pPr>
              <w:jc w:val="right"/>
              <w:rPr>
                <w:rFonts w:ascii="Arial Black" w:hAnsi="Arial Black" w:cs="Calibri"/>
                <w:color w:val="000000"/>
                <w:sz w:val="24"/>
                <w:szCs w:val="24"/>
              </w:rPr>
            </w:pPr>
            <w:r>
              <w:rPr>
                <w:rFonts w:ascii="Arial Black" w:hAnsi="Arial Black" w:cs="Calibri"/>
                <w:color w:val="000000"/>
              </w:rPr>
              <w:t xml:space="preserve">    2 591 002 </w:t>
            </w:r>
          </w:p>
        </w:tc>
      </w:tr>
      <w:tr w:rsidR="00E53661" w:rsidTr="005F487F">
        <w:tc>
          <w:tcPr>
            <w:tcW w:w="6629" w:type="dxa"/>
          </w:tcPr>
          <w:p w:rsidR="00E53661" w:rsidRPr="000E4DC4" w:rsidRDefault="00E53661" w:rsidP="00EF0B06">
            <w:pPr>
              <w:pStyle w:val="NoSpacing"/>
              <w:jc w:val="both"/>
              <w:rPr>
                <w:rFonts w:ascii="Arial Black" w:hAnsi="Arial Black"/>
                <w:sz w:val="24"/>
                <w:szCs w:val="24"/>
              </w:rPr>
            </w:pPr>
            <w:r>
              <w:rPr>
                <w:rFonts w:ascii="Arial Black" w:hAnsi="Arial Black"/>
                <w:sz w:val="24"/>
                <w:szCs w:val="24"/>
              </w:rPr>
              <w:t>R</w:t>
            </w:r>
            <w:r w:rsidRPr="000E4DC4">
              <w:rPr>
                <w:rFonts w:ascii="Arial Black" w:hAnsi="Arial Black"/>
                <w:sz w:val="24"/>
                <w:szCs w:val="24"/>
              </w:rPr>
              <w:t>eserve</w:t>
            </w:r>
            <w:r>
              <w:rPr>
                <w:rFonts w:ascii="Arial Black" w:hAnsi="Arial Black"/>
                <w:sz w:val="24"/>
                <w:szCs w:val="24"/>
              </w:rPr>
              <w:t xml:space="preserve"> funds</w:t>
            </w:r>
          </w:p>
        </w:tc>
        <w:tc>
          <w:tcPr>
            <w:tcW w:w="2835" w:type="dxa"/>
            <w:vAlign w:val="center"/>
          </w:tcPr>
          <w:p w:rsidR="00E53661" w:rsidRDefault="00E53661">
            <w:pPr>
              <w:jc w:val="right"/>
              <w:rPr>
                <w:rFonts w:ascii="Arial Black" w:hAnsi="Arial Black" w:cs="Calibri"/>
                <w:color w:val="000000"/>
                <w:sz w:val="24"/>
                <w:szCs w:val="24"/>
              </w:rPr>
            </w:pPr>
            <w:r>
              <w:rPr>
                <w:rFonts w:ascii="Arial Black" w:hAnsi="Arial Black" w:cs="Calibri"/>
                <w:color w:val="000000"/>
              </w:rPr>
              <w:t xml:space="preserve">    3 294 457 </w:t>
            </w:r>
          </w:p>
        </w:tc>
      </w:tr>
      <w:tr w:rsidR="00E53661" w:rsidTr="005F487F">
        <w:tc>
          <w:tcPr>
            <w:tcW w:w="6629" w:type="dxa"/>
          </w:tcPr>
          <w:p w:rsidR="00E53661" w:rsidRDefault="00E53661" w:rsidP="00B31813">
            <w:pPr>
              <w:pStyle w:val="NoSpacing"/>
              <w:jc w:val="both"/>
              <w:rPr>
                <w:rFonts w:ascii="Arial Black" w:hAnsi="Arial Black"/>
                <w:sz w:val="24"/>
                <w:szCs w:val="24"/>
              </w:rPr>
            </w:pPr>
            <w:r>
              <w:rPr>
                <w:rFonts w:ascii="Arial Black" w:hAnsi="Arial Black"/>
                <w:sz w:val="24"/>
                <w:szCs w:val="24"/>
              </w:rPr>
              <w:t>Total Tier I capital</w:t>
            </w:r>
          </w:p>
        </w:tc>
        <w:tc>
          <w:tcPr>
            <w:tcW w:w="2835" w:type="dxa"/>
            <w:vAlign w:val="center"/>
          </w:tcPr>
          <w:p w:rsidR="00E53661" w:rsidRDefault="00E53661">
            <w:pPr>
              <w:jc w:val="right"/>
              <w:rPr>
                <w:rFonts w:ascii="Arial Black" w:hAnsi="Arial Black" w:cs="Calibri"/>
                <w:color w:val="000000"/>
                <w:sz w:val="24"/>
                <w:szCs w:val="24"/>
              </w:rPr>
            </w:pPr>
            <w:r>
              <w:rPr>
                <w:rFonts w:ascii="Arial Black" w:hAnsi="Arial Black" w:cs="Calibri"/>
                <w:color w:val="000000"/>
              </w:rPr>
              <w:t xml:space="preserve">    5 757 507 </w:t>
            </w:r>
          </w:p>
        </w:tc>
      </w:tr>
      <w:tr w:rsidR="00E53661" w:rsidTr="005F487F">
        <w:tc>
          <w:tcPr>
            <w:tcW w:w="6629" w:type="dxa"/>
          </w:tcPr>
          <w:p w:rsidR="00E53661" w:rsidRDefault="00E53661" w:rsidP="00B31813">
            <w:pPr>
              <w:pStyle w:val="NoSpacing"/>
              <w:jc w:val="both"/>
              <w:rPr>
                <w:rFonts w:ascii="Arial Black" w:hAnsi="Arial Black"/>
                <w:sz w:val="24"/>
                <w:szCs w:val="24"/>
              </w:rPr>
            </w:pPr>
            <w:r>
              <w:rPr>
                <w:rFonts w:ascii="Arial Black" w:hAnsi="Arial Black"/>
                <w:sz w:val="24"/>
                <w:szCs w:val="24"/>
              </w:rPr>
              <w:t>Total Tier II capital</w:t>
            </w:r>
          </w:p>
        </w:tc>
        <w:tc>
          <w:tcPr>
            <w:tcW w:w="2835" w:type="dxa"/>
            <w:vAlign w:val="center"/>
          </w:tcPr>
          <w:p w:rsidR="00E53661" w:rsidRDefault="00E53661">
            <w:pPr>
              <w:jc w:val="right"/>
              <w:rPr>
                <w:rFonts w:ascii="Arial Black" w:hAnsi="Arial Black" w:cs="Calibri"/>
                <w:color w:val="000000"/>
                <w:sz w:val="24"/>
                <w:szCs w:val="24"/>
              </w:rPr>
            </w:pPr>
            <w:r>
              <w:rPr>
                <w:rFonts w:ascii="Arial Black" w:hAnsi="Arial Black" w:cs="Calibri"/>
                <w:color w:val="000000"/>
              </w:rPr>
              <w:t xml:space="preserve">       127 953 </w:t>
            </w:r>
          </w:p>
        </w:tc>
      </w:tr>
      <w:tr w:rsidR="00E53661" w:rsidTr="005F487F">
        <w:tc>
          <w:tcPr>
            <w:tcW w:w="6629" w:type="dxa"/>
          </w:tcPr>
          <w:p w:rsidR="00E53661" w:rsidRDefault="00E53661" w:rsidP="00B31813">
            <w:pPr>
              <w:pStyle w:val="NoSpacing"/>
              <w:jc w:val="both"/>
              <w:rPr>
                <w:rFonts w:ascii="Arial Black" w:hAnsi="Arial Black"/>
                <w:sz w:val="24"/>
                <w:szCs w:val="24"/>
              </w:rPr>
            </w:pPr>
            <w:r>
              <w:rPr>
                <w:rFonts w:ascii="Arial Black" w:hAnsi="Arial Black"/>
                <w:sz w:val="24"/>
                <w:szCs w:val="24"/>
              </w:rPr>
              <w:t>Total qualifying capital and reserves</w:t>
            </w:r>
          </w:p>
        </w:tc>
        <w:tc>
          <w:tcPr>
            <w:tcW w:w="2835" w:type="dxa"/>
            <w:vAlign w:val="center"/>
          </w:tcPr>
          <w:p w:rsidR="00E53661" w:rsidRDefault="00E53661">
            <w:pPr>
              <w:jc w:val="right"/>
              <w:rPr>
                <w:rFonts w:ascii="Arial Black" w:hAnsi="Arial Black" w:cs="Calibri"/>
                <w:color w:val="000000"/>
                <w:sz w:val="24"/>
                <w:szCs w:val="24"/>
              </w:rPr>
            </w:pPr>
            <w:r>
              <w:rPr>
                <w:rFonts w:ascii="Arial Black" w:hAnsi="Arial Black" w:cs="Calibri"/>
                <w:color w:val="000000"/>
              </w:rPr>
              <w:t xml:space="preserve">    5 885 460 </w:t>
            </w:r>
          </w:p>
        </w:tc>
      </w:tr>
    </w:tbl>
    <w:p w:rsidR="00CE7C8D" w:rsidRDefault="00CE7C8D" w:rsidP="00B31813">
      <w:pPr>
        <w:pStyle w:val="NoSpacing"/>
        <w:jc w:val="both"/>
        <w:rPr>
          <w:rFonts w:ascii="Arial Black" w:hAnsi="Arial Black"/>
          <w:sz w:val="24"/>
          <w:szCs w:val="24"/>
        </w:rPr>
      </w:pPr>
    </w:p>
    <w:tbl>
      <w:tblPr>
        <w:tblStyle w:val="TableGrid"/>
        <w:tblW w:w="9464" w:type="dxa"/>
        <w:tblLook w:val="04A0" w:firstRow="1" w:lastRow="0" w:firstColumn="1" w:lastColumn="0" w:noHBand="0" w:noVBand="1"/>
      </w:tblPr>
      <w:tblGrid>
        <w:gridCol w:w="6629"/>
        <w:gridCol w:w="2835"/>
      </w:tblGrid>
      <w:tr w:rsidR="00AE2CCC" w:rsidTr="00F90ADF">
        <w:tc>
          <w:tcPr>
            <w:tcW w:w="6629" w:type="dxa"/>
            <w:shd w:val="clear" w:color="auto" w:fill="C6D9F1" w:themeFill="text2" w:themeFillTint="33"/>
          </w:tcPr>
          <w:p w:rsidR="00AE2CCC" w:rsidRPr="001D38ED" w:rsidRDefault="00AE2CCC" w:rsidP="00B31813">
            <w:pPr>
              <w:pStyle w:val="NoSpacing"/>
              <w:jc w:val="both"/>
              <w:rPr>
                <w:rFonts w:ascii="Arial Black" w:hAnsi="Arial Black"/>
                <w:sz w:val="24"/>
                <w:szCs w:val="24"/>
              </w:rPr>
            </w:pPr>
            <w:r>
              <w:rPr>
                <w:rFonts w:ascii="Arial Black" w:hAnsi="Arial Black"/>
                <w:sz w:val="24"/>
                <w:szCs w:val="24"/>
              </w:rPr>
              <w:t>Risk Weighted Assets – ZAR - 000</w:t>
            </w:r>
          </w:p>
        </w:tc>
        <w:tc>
          <w:tcPr>
            <w:tcW w:w="2835" w:type="dxa"/>
            <w:shd w:val="clear" w:color="auto" w:fill="C6D9F1" w:themeFill="text2" w:themeFillTint="33"/>
          </w:tcPr>
          <w:p w:rsidR="00AE2CCC" w:rsidRPr="00CE7C8D" w:rsidRDefault="00AE2CCC" w:rsidP="00E32D37">
            <w:pPr>
              <w:pStyle w:val="NoSpacing"/>
              <w:jc w:val="both"/>
              <w:rPr>
                <w:rFonts w:ascii="Arial Black" w:hAnsi="Arial Black"/>
                <w:b/>
                <w:outline/>
                <w:color w:val="C0504D" w:themeColor="accent2"/>
                <w:sz w:val="24"/>
                <w:szCs w:val="24"/>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sidRPr="00CE7C8D">
              <w:rPr>
                <w:rFonts w:ascii="Arial Black" w:hAnsi="Arial Black"/>
                <w:b/>
                <w:outline/>
                <w:color w:val="C0504D" w:themeColor="accent2"/>
                <w:sz w:val="24"/>
                <w:szCs w:val="24"/>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3</w:t>
            </w:r>
            <w:r w:rsidR="00E32D37">
              <w:rPr>
                <w:rFonts w:ascii="Arial Black" w:hAnsi="Arial Black"/>
                <w:b/>
                <w:outline/>
                <w:color w:val="C0504D" w:themeColor="accent2"/>
                <w:sz w:val="24"/>
                <w:szCs w:val="24"/>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 xml:space="preserve">0 June </w:t>
            </w:r>
            <w:r>
              <w:rPr>
                <w:rFonts w:ascii="Arial Black" w:hAnsi="Arial Black"/>
                <w:b/>
                <w:outline/>
                <w:color w:val="C0504D" w:themeColor="accent2"/>
                <w:sz w:val="24"/>
                <w:szCs w:val="24"/>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2016</w:t>
            </w:r>
          </w:p>
        </w:tc>
      </w:tr>
      <w:tr w:rsidR="00E53661" w:rsidTr="00657044">
        <w:tc>
          <w:tcPr>
            <w:tcW w:w="6629" w:type="dxa"/>
          </w:tcPr>
          <w:p w:rsidR="00E53661" w:rsidRDefault="00E53661" w:rsidP="00B31813">
            <w:pPr>
              <w:pStyle w:val="NoSpacing"/>
              <w:jc w:val="both"/>
              <w:rPr>
                <w:rFonts w:ascii="Arial Black" w:hAnsi="Arial Black"/>
                <w:sz w:val="24"/>
                <w:szCs w:val="24"/>
              </w:rPr>
            </w:pPr>
            <w:r>
              <w:rPr>
                <w:rFonts w:ascii="Arial Black" w:hAnsi="Arial Black"/>
                <w:sz w:val="24"/>
                <w:szCs w:val="24"/>
              </w:rPr>
              <w:t>Risk Weighted Assets</w:t>
            </w:r>
          </w:p>
        </w:tc>
        <w:tc>
          <w:tcPr>
            <w:tcW w:w="2835" w:type="dxa"/>
            <w:vAlign w:val="center"/>
          </w:tcPr>
          <w:p w:rsidR="00E53661" w:rsidRDefault="00E53661">
            <w:pPr>
              <w:jc w:val="right"/>
              <w:rPr>
                <w:rFonts w:ascii="Arial Black" w:hAnsi="Arial Black" w:cs="Calibri"/>
                <w:b/>
                <w:bCs/>
                <w:color w:val="000000"/>
                <w:sz w:val="24"/>
                <w:szCs w:val="24"/>
              </w:rPr>
            </w:pPr>
            <w:r>
              <w:rPr>
                <w:rFonts w:ascii="Arial Black" w:hAnsi="Arial Black" w:cs="Calibri"/>
                <w:b/>
                <w:bCs/>
                <w:color w:val="000000"/>
              </w:rPr>
              <w:t>30 827 565</w:t>
            </w:r>
          </w:p>
        </w:tc>
      </w:tr>
      <w:tr w:rsidR="00E53661" w:rsidTr="00657044">
        <w:tc>
          <w:tcPr>
            <w:tcW w:w="6629" w:type="dxa"/>
          </w:tcPr>
          <w:p w:rsidR="00E53661" w:rsidRDefault="00E53661" w:rsidP="000F4259">
            <w:pPr>
              <w:pStyle w:val="NoSpacing"/>
              <w:jc w:val="both"/>
              <w:rPr>
                <w:rFonts w:ascii="Arial Black" w:hAnsi="Arial Black"/>
                <w:sz w:val="24"/>
                <w:szCs w:val="24"/>
              </w:rPr>
            </w:pPr>
            <w:r>
              <w:rPr>
                <w:rFonts w:ascii="Arial Black" w:hAnsi="Arial Black"/>
                <w:sz w:val="24"/>
                <w:szCs w:val="24"/>
              </w:rPr>
              <w:t>Credit risk</w:t>
            </w:r>
          </w:p>
        </w:tc>
        <w:tc>
          <w:tcPr>
            <w:tcW w:w="2835" w:type="dxa"/>
            <w:vAlign w:val="center"/>
          </w:tcPr>
          <w:p w:rsidR="00E53661" w:rsidRDefault="00E53661">
            <w:pPr>
              <w:jc w:val="right"/>
              <w:rPr>
                <w:rFonts w:ascii="Arial Black" w:hAnsi="Arial Black" w:cs="Calibri"/>
                <w:color w:val="000000"/>
                <w:sz w:val="24"/>
                <w:szCs w:val="24"/>
              </w:rPr>
            </w:pPr>
            <w:r>
              <w:rPr>
                <w:rFonts w:ascii="Arial Black" w:hAnsi="Arial Black" w:cs="Calibri"/>
                <w:color w:val="000000"/>
              </w:rPr>
              <w:t>18 406 777</w:t>
            </w:r>
          </w:p>
        </w:tc>
      </w:tr>
      <w:tr w:rsidR="00E53661" w:rsidTr="00657044">
        <w:tc>
          <w:tcPr>
            <w:tcW w:w="6629" w:type="dxa"/>
          </w:tcPr>
          <w:p w:rsidR="00E53661" w:rsidRDefault="00E53661" w:rsidP="00B31813">
            <w:pPr>
              <w:pStyle w:val="NoSpacing"/>
              <w:jc w:val="both"/>
              <w:rPr>
                <w:rFonts w:ascii="Arial Black" w:hAnsi="Arial Black"/>
                <w:sz w:val="24"/>
                <w:szCs w:val="24"/>
              </w:rPr>
            </w:pPr>
            <w:r>
              <w:rPr>
                <w:rFonts w:ascii="Arial Black" w:hAnsi="Arial Black"/>
                <w:sz w:val="24"/>
                <w:szCs w:val="24"/>
              </w:rPr>
              <w:t>Counterparty Credit Risk</w:t>
            </w:r>
          </w:p>
        </w:tc>
        <w:tc>
          <w:tcPr>
            <w:tcW w:w="2835" w:type="dxa"/>
            <w:vAlign w:val="center"/>
          </w:tcPr>
          <w:p w:rsidR="00E53661" w:rsidRDefault="00E53661">
            <w:pPr>
              <w:jc w:val="right"/>
              <w:rPr>
                <w:rFonts w:ascii="Arial Black" w:hAnsi="Arial Black" w:cs="Calibri"/>
                <w:color w:val="000000"/>
                <w:sz w:val="24"/>
                <w:szCs w:val="24"/>
              </w:rPr>
            </w:pPr>
            <w:r>
              <w:rPr>
                <w:rFonts w:ascii="Arial Black" w:hAnsi="Arial Black" w:cs="Calibri"/>
                <w:color w:val="000000"/>
              </w:rPr>
              <w:t>2 477 162</w:t>
            </w:r>
          </w:p>
        </w:tc>
      </w:tr>
      <w:tr w:rsidR="00E53661" w:rsidTr="00657044">
        <w:tc>
          <w:tcPr>
            <w:tcW w:w="6629" w:type="dxa"/>
          </w:tcPr>
          <w:p w:rsidR="00E53661" w:rsidRDefault="00E53661" w:rsidP="00C31B11">
            <w:pPr>
              <w:pStyle w:val="NoSpacing"/>
              <w:jc w:val="both"/>
              <w:rPr>
                <w:rFonts w:ascii="Arial Black" w:hAnsi="Arial Black"/>
                <w:sz w:val="24"/>
                <w:szCs w:val="24"/>
              </w:rPr>
            </w:pPr>
            <w:r>
              <w:rPr>
                <w:rFonts w:ascii="Arial Black" w:hAnsi="Arial Black"/>
                <w:sz w:val="24"/>
                <w:szCs w:val="24"/>
              </w:rPr>
              <w:t>Market Risk</w:t>
            </w:r>
          </w:p>
        </w:tc>
        <w:tc>
          <w:tcPr>
            <w:tcW w:w="2835" w:type="dxa"/>
            <w:vAlign w:val="center"/>
          </w:tcPr>
          <w:p w:rsidR="00E53661" w:rsidRDefault="00E53661">
            <w:pPr>
              <w:jc w:val="right"/>
              <w:rPr>
                <w:rFonts w:ascii="Arial Black" w:hAnsi="Arial Black" w:cs="Calibri"/>
                <w:color w:val="000000"/>
                <w:sz w:val="24"/>
                <w:szCs w:val="24"/>
              </w:rPr>
            </w:pPr>
            <w:r>
              <w:rPr>
                <w:rFonts w:ascii="Arial Black" w:hAnsi="Arial Black" w:cs="Calibri"/>
                <w:color w:val="000000"/>
              </w:rPr>
              <w:t>5 711 326</w:t>
            </w:r>
          </w:p>
        </w:tc>
      </w:tr>
      <w:tr w:rsidR="00E53661" w:rsidTr="00657044">
        <w:tc>
          <w:tcPr>
            <w:tcW w:w="6629" w:type="dxa"/>
          </w:tcPr>
          <w:p w:rsidR="00E53661" w:rsidRDefault="00E53661" w:rsidP="00B31813">
            <w:pPr>
              <w:pStyle w:val="NoSpacing"/>
              <w:jc w:val="both"/>
              <w:rPr>
                <w:rFonts w:ascii="Arial Black" w:hAnsi="Arial Black"/>
                <w:sz w:val="24"/>
                <w:szCs w:val="24"/>
              </w:rPr>
            </w:pPr>
            <w:r>
              <w:rPr>
                <w:rFonts w:ascii="Arial Black" w:hAnsi="Arial Black"/>
                <w:sz w:val="24"/>
                <w:szCs w:val="24"/>
              </w:rPr>
              <w:t>Operational risk</w:t>
            </w:r>
          </w:p>
        </w:tc>
        <w:tc>
          <w:tcPr>
            <w:tcW w:w="2835" w:type="dxa"/>
            <w:vAlign w:val="center"/>
          </w:tcPr>
          <w:p w:rsidR="00E53661" w:rsidRDefault="00E53661">
            <w:pPr>
              <w:jc w:val="right"/>
              <w:rPr>
                <w:rFonts w:ascii="Arial Black" w:hAnsi="Arial Black" w:cs="Calibri"/>
                <w:color w:val="000000"/>
                <w:sz w:val="24"/>
                <w:szCs w:val="24"/>
              </w:rPr>
            </w:pPr>
            <w:r>
              <w:rPr>
                <w:rFonts w:ascii="Arial Black" w:hAnsi="Arial Black" w:cs="Calibri"/>
                <w:color w:val="000000"/>
              </w:rPr>
              <w:t>3 444 686</w:t>
            </w:r>
          </w:p>
        </w:tc>
      </w:tr>
      <w:tr w:rsidR="00E53661" w:rsidTr="00657044">
        <w:tc>
          <w:tcPr>
            <w:tcW w:w="6629" w:type="dxa"/>
          </w:tcPr>
          <w:p w:rsidR="00E53661" w:rsidRDefault="00E53661" w:rsidP="00B31813">
            <w:pPr>
              <w:pStyle w:val="NoSpacing"/>
              <w:jc w:val="both"/>
              <w:rPr>
                <w:rFonts w:ascii="Arial Black" w:hAnsi="Arial Black"/>
                <w:sz w:val="24"/>
                <w:szCs w:val="24"/>
              </w:rPr>
            </w:pPr>
            <w:r>
              <w:rPr>
                <w:rFonts w:ascii="Arial Black" w:hAnsi="Arial Black"/>
                <w:sz w:val="24"/>
                <w:szCs w:val="24"/>
              </w:rPr>
              <w:t>Equity Risk</w:t>
            </w:r>
          </w:p>
        </w:tc>
        <w:tc>
          <w:tcPr>
            <w:tcW w:w="2835" w:type="dxa"/>
            <w:vAlign w:val="center"/>
          </w:tcPr>
          <w:p w:rsidR="00E53661" w:rsidRDefault="00E53661">
            <w:pPr>
              <w:jc w:val="right"/>
              <w:rPr>
                <w:rFonts w:ascii="Arial Black" w:hAnsi="Arial Black" w:cs="Calibri"/>
                <w:color w:val="000000"/>
                <w:sz w:val="24"/>
                <w:szCs w:val="24"/>
              </w:rPr>
            </w:pPr>
            <w:r>
              <w:rPr>
                <w:rFonts w:ascii="Arial Black" w:hAnsi="Arial Black" w:cs="Calibri"/>
                <w:color w:val="000000"/>
              </w:rPr>
              <w:t>90</w:t>
            </w:r>
          </w:p>
        </w:tc>
      </w:tr>
      <w:tr w:rsidR="00E53661" w:rsidTr="00657044">
        <w:tc>
          <w:tcPr>
            <w:tcW w:w="6629" w:type="dxa"/>
            <w:tcBorders>
              <w:bottom w:val="single" w:sz="4" w:space="0" w:color="auto"/>
            </w:tcBorders>
          </w:tcPr>
          <w:p w:rsidR="00E53661" w:rsidRDefault="00E53661" w:rsidP="00B31813">
            <w:pPr>
              <w:pStyle w:val="NoSpacing"/>
              <w:jc w:val="both"/>
              <w:rPr>
                <w:rFonts w:ascii="Arial Black" w:hAnsi="Arial Black"/>
                <w:sz w:val="24"/>
                <w:szCs w:val="24"/>
              </w:rPr>
            </w:pPr>
            <w:r>
              <w:rPr>
                <w:rFonts w:ascii="Arial Black" w:hAnsi="Arial Black"/>
                <w:sz w:val="24"/>
                <w:szCs w:val="24"/>
              </w:rPr>
              <w:t>Other risks</w:t>
            </w:r>
          </w:p>
        </w:tc>
        <w:tc>
          <w:tcPr>
            <w:tcW w:w="2835" w:type="dxa"/>
            <w:tcBorders>
              <w:bottom w:val="single" w:sz="4" w:space="0" w:color="auto"/>
            </w:tcBorders>
            <w:vAlign w:val="center"/>
          </w:tcPr>
          <w:p w:rsidR="00E53661" w:rsidRDefault="00E53661">
            <w:pPr>
              <w:jc w:val="right"/>
              <w:rPr>
                <w:rFonts w:ascii="Arial Black" w:hAnsi="Arial Black" w:cs="Calibri"/>
                <w:color w:val="000000"/>
                <w:sz w:val="24"/>
                <w:szCs w:val="24"/>
              </w:rPr>
            </w:pPr>
            <w:r>
              <w:rPr>
                <w:rFonts w:ascii="Arial Black" w:hAnsi="Arial Black" w:cs="Calibri"/>
                <w:color w:val="000000"/>
              </w:rPr>
              <w:t>787 524</w:t>
            </w:r>
          </w:p>
        </w:tc>
      </w:tr>
      <w:tr w:rsidR="00AE2CCC" w:rsidTr="00F90ADF">
        <w:tc>
          <w:tcPr>
            <w:tcW w:w="6629" w:type="dxa"/>
            <w:shd w:val="clear" w:color="auto" w:fill="C6D9F1" w:themeFill="text2" w:themeFillTint="33"/>
          </w:tcPr>
          <w:p w:rsidR="00AE2CCC" w:rsidRDefault="00AE2CCC" w:rsidP="00B31813">
            <w:pPr>
              <w:pStyle w:val="NoSpacing"/>
              <w:jc w:val="both"/>
              <w:rPr>
                <w:rFonts w:ascii="Arial Black" w:hAnsi="Arial Black"/>
                <w:sz w:val="24"/>
                <w:szCs w:val="24"/>
              </w:rPr>
            </w:pPr>
            <w:r w:rsidRPr="00ED128E">
              <w:rPr>
                <w:rFonts w:ascii="Arial Black" w:hAnsi="Arial Black"/>
                <w:sz w:val="24"/>
                <w:szCs w:val="24"/>
                <w:u w:val="single"/>
              </w:rPr>
              <w:t>Capital ratios</w:t>
            </w:r>
          </w:p>
        </w:tc>
        <w:tc>
          <w:tcPr>
            <w:tcW w:w="2835" w:type="dxa"/>
            <w:shd w:val="clear" w:color="auto" w:fill="C6D9F1" w:themeFill="text2" w:themeFillTint="33"/>
          </w:tcPr>
          <w:p w:rsidR="00AE2CCC" w:rsidRPr="00CE7C8D" w:rsidRDefault="00AE2CCC" w:rsidP="00E32D37">
            <w:pPr>
              <w:pStyle w:val="NoSpacing"/>
              <w:jc w:val="both"/>
              <w:rPr>
                <w:rFonts w:ascii="Arial Black" w:hAnsi="Arial Black"/>
                <w:b/>
                <w:outline/>
                <w:color w:val="C0504D" w:themeColor="accent2"/>
                <w:sz w:val="24"/>
                <w:szCs w:val="24"/>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sidRPr="00CE7C8D">
              <w:rPr>
                <w:rFonts w:ascii="Arial Black" w:hAnsi="Arial Black"/>
                <w:b/>
                <w:outline/>
                <w:color w:val="C0504D" w:themeColor="accent2"/>
                <w:sz w:val="24"/>
                <w:szCs w:val="24"/>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3</w:t>
            </w:r>
            <w:r w:rsidR="00E32D37">
              <w:rPr>
                <w:rFonts w:ascii="Arial Black" w:hAnsi="Arial Black"/>
                <w:b/>
                <w:outline/>
                <w:color w:val="C0504D" w:themeColor="accent2"/>
                <w:sz w:val="24"/>
                <w:szCs w:val="24"/>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 xml:space="preserve">0 June </w:t>
            </w:r>
            <w:r>
              <w:rPr>
                <w:rFonts w:ascii="Arial Black" w:hAnsi="Arial Black"/>
                <w:b/>
                <w:outline/>
                <w:color w:val="C0504D" w:themeColor="accent2"/>
                <w:sz w:val="24"/>
                <w:szCs w:val="24"/>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2016</w:t>
            </w:r>
          </w:p>
        </w:tc>
      </w:tr>
      <w:tr w:rsidR="00E53661" w:rsidTr="008C501F">
        <w:tc>
          <w:tcPr>
            <w:tcW w:w="6629" w:type="dxa"/>
          </w:tcPr>
          <w:p w:rsidR="00E53661" w:rsidRPr="00ED128E" w:rsidRDefault="00E53661" w:rsidP="00B31813">
            <w:pPr>
              <w:pStyle w:val="NoSpacing"/>
              <w:jc w:val="both"/>
              <w:rPr>
                <w:rFonts w:ascii="Arial Black" w:hAnsi="Arial Black"/>
                <w:sz w:val="24"/>
                <w:szCs w:val="24"/>
                <w:u w:val="single"/>
              </w:rPr>
            </w:pPr>
            <w:r>
              <w:rPr>
                <w:rFonts w:ascii="Arial Black" w:hAnsi="Arial Black"/>
                <w:sz w:val="24"/>
                <w:szCs w:val="24"/>
              </w:rPr>
              <w:t>Total Capital Adequacy Ratio (CAR)</w:t>
            </w:r>
          </w:p>
        </w:tc>
        <w:tc>
          <w:tcPr>
            <w:tcW w:w="2835" w:type="dxa"/>
            <w:vAlign w:val="center"/>
          </w:tcPr>
          <w:p w:rsidR="00E53661" w:rsidRDefault="00E53661">
            <w:pPr>
              <w:jc w:val="right"/>
              <w:rPr>
                <w:rFonts w:ascii="Arial Black" w:hAnsi="Arial Black" w:cs="Calibri"/>
                <w:color w:val="000000"/>
                <w:sz w:val="24"/>
                <w:szCs w:val="24"/>
              </w:rPr>
            </w:pPr>
            <w:r>
              <w:rPr>
                <w:rFonts w:ascii="Arial Black" w:hAnsi="Arial Black" w:cs="Calibri"/>
                <w:color w:val="000000"/>
              </w:rPr>
              <w:t>19.09%</w:t>
            </w:r>
          </w:p>
        </w:tc>
      </w:tr>
      <w:tr w:rsidR="00E53661" w:rsidTr="008C501F">
        <w:tc>
          <w:tcPr>
            <w:tcW w:w="6629" w:type="dxa"/>
          </w:tcPr>
          <w:p w:rsidR="00E53661" w:rsidRDefault="00E53661" w:rsidP="00B31813">
            <w:pPr>
              <w:pStyle w:val="NoSpacing"/>
              <w:jc w:val="both"/>
              <w:rPr>
                <w:rFonts w:ascii="Arial Black" w:hAnsi="Arial Black"/>
                <w:sz w:val="24"/>
                <w:szCs w:val="24"/>
              </w:rPr>
            </w:pPr>
            <w:r>
              <w:rPr>
                <w:rFonts w:ascii="Arial Black" w:hAnsi="Arial Black"/>
                <w:sz w:val="24"/>
                <w:szCs w:val="24"/>
              </w:rPr>
              <w:t>Basel III Leverage ratio</w:t>
            </w:r>
          </w:p>
        </w:tc>
        <w:tc>
          <w:tcPr>
            <w:tcW w:w="2835" w:type="dxa"/>
            <w:vAlign w:val="center"/>
          </w:tcPr>
          <w:p w:rsidR="00E53661" w:rsidRDefault="00E53661">
            <w:pPr>
              <w:jc w:val="right"/>
              <w:rPr>
                <w:rFonts w:ascii="Arial Black" w:hAnsi="Arial Black" w:cs="Calibri"/>
                <w:color w:val="000000"/>
                <w:sz w:val="24"/>
                <w:szCs w:val="24"/>
              </w:rPr>
            </w:pPr>
            <w:r>
              <w:rPr>
                <w:rFonts w:ascii="Arial Black" w:hAnsi="Arial Black" w:cs="Calibri"/>
                <w:color w:val="000000"/>
              </w:rPr>
              <w:t>7.59%</w:t>
            </w:r>
          </w:p>
        </w:tc>
      </w:tr>
      <w:tr w:rsidR="00AE2CCC" w:rsidTr="00F90ADF">
        <w:tc>
          <w:tcPr>
            <w:tcW w:w="6629" w:type="dxa"/>
          </w:tcPr>
          <w:p w:rsidR="00AE2CCC" w:rsidRDefault="00AE2CCC" w:rsidP="00B31813">
            <w:pPr>
              <w:pStyle w:val="NoSpacing"/>
              <w:jc w:val="both"/>
              <w:rPr>
                <w:rFonts w:ascii="Arial Black" w:hAnsi="Arial Black"/>
                <w:sz w:val="24"/>
                <w:szCs w:val="24"/>
              </w:rPr>
            </w:pPr>
          </w:p>
        </w:tc>
        <w:tc>
          <w:tcPr>
            <w:tcW w:w="2835" w:type="dxa"/>
          </w:tcPr>
          <w:p w:rsidR="00AE2CCC" w:rsidRDefault="00AE2CCC" w:rsidP="00C31B11">
            <w:pPr>
              <w:pStyle w:val="NoSpacing"/>
              <w:jc w:val="both"/>
              <w:rPr>
                <w:rFonts w:ascii="Arial Black" w:hAnsi="Arial Black"/>
                <w:sz w:val="24"/>
                <w:szCs w:val="24"/>
              </w:rPr>
            </w:pPr>
          </w:p>
        </w:tc>
      </w:tr>
    </w:tbl>
    <w:p w:rsidR="00CE7C8D" w:rsidRDefault="00CE7C8D" w:rsidP="00B31813">
      <w:pPr>
        <w:pStyle w:val="NoSpacing"/>
        <w:jc w:val="both"/>
        <w:rPr>
          <w:rFonts w:ascii="Arial Black" w:hAnsi="Arial Black"/>
          <w:sz w:val="24"/>
          <w:szCs w:val="24"/>
        </w:rPr>
      </w:pPr>
    </w:p>
    <w:p w:rsidR="00143212" w:rsidRDefault="00143212" w:rsidP="00B31813">
      <w:pPr>
        <w:pStyle w:val="NoSpacing"/>
        <w:jc w:val="both"/>
        <w:rPr>
          <w:rFonts w:ascii="Arial Black" w:hAnsi="Arial Black"/>
          <w:sz w:val="24"/>
          <w:szCs w:val="24"/>
        </w:rPr>
      </w:pPr>
      <w:r>
        <w:rPr>
          <w:rFonts w:ascii="Arial Black" w:hAnsi="Arial Black"/>
          <w:sz w:val="24"/>
          <w:szCs w:val="24"/>
        </w:rPr>
        <w:t>Minimum Required Capital Adequacy Ratio:</w:t>
      </w:r>
    </w:p>
    <w:tbl>
      <w:tblPr>
        <w:tblStyle w:val="TableGrid"/>
        <w:tblW w:w="9322" w:type="dxa"/>
        <w:tblLook w:val="04A0" w:firstRow="1" w:lastRow="0" w:firstColumn="1" w:lastColumn="0" w:noHBand="0" w:noVBand="1"/>
      </w:tblPr>
      <w:tblGrid>
        <w:gridCol w:w="2660"/>
        <w:gridCol w:w="3260"/>
        <w:gridCol w:w="3402"/>
      </w:tblGrid>
      <w:tr w:rsidR="00143212" w:rsidTr="00143212">
        <w:tc>
          <w:tcPr>
            <w:tcW w:w="2660" w:type="dxa"/>
          </w:tcPr>
          <w:p w:rsidR="00143212" w:rsidRDefault="00143212" w:rsidP="009020DA">
            <w:pPr>
              <w:pStyle w:val="NoSpacing"/>
              <w:rPr>
                <w:rFonts w:ascii="Arial Black" w:hAnsi="Arial Black"/>
                <w:sz w:val="24"/>
                <w:szCs w:val="24"/>
              </w:rPr>
            </w:pPr>
            <w:r>
              <w:rPr>
                <w:rFonts w:ascii="Arial Black" w:hAnsi="Arial Black"/>
                <w:sz w:val="24"/>
                <w:szCs w:val="24"/>
              </w:rPr>
              <w:t>Description</w:t>
            </w:r>
          </w:p>
        </w:tc>
        <w:tc>
          <w:tcPr>
            <w:tcW w:w="3260" w:type="dxa"/>
          </w:tcPr>
          <w:p w:rsidR="00143212" w:rsidRDefault="00143212" w:rsidP="009020DA">
            <w:pPr>
              <w:pStyle w:val="NoSpacing"/>
              <w:rPr>
                <w:rFonts w:ascii="Arial Black" w:hAnsi="Arial Black"/>
                <w:sz w:val="24"/>
                <w:szCs w:val="24"/>
              </w:rPr>
            </w:pPr>
            <w:r>
              <w:rPr>
                <w:rFonts w:ascii="Arial Black" w:hAnsi="Arial Black"/>
                <w:sz w:val="24"/>
                <w:szCs w:val="24"/>
              </w:rPr>
              <w:t>Common Equity Tier 1</w:t>
            </w:r>
          </w:p>
        </w:tc>
        <w:tc>
          <w:tcPr>
            <w:tcW w:w="3402" w:type="dxa"/>
          </w:tcPr>
          <w:p w:rsidR="00143212" w:rsidRDefault="00143212" w:rsidP="009020DA">
            <w:pPr>
              <w:pStyle w:val="NoSpacing"/>
              <w:rPr>
                <w:rFonts w:ascii="Arial Black" w:hAnsi="Arial Black"/>
                <w:sz w:val="24"/>
                <w:szCs w:val="24"/>
              </w:rPr>
            </w:pPr>
            <w:r>
              <w:rPr>
                <w:rFonts w:ascii="Arial Black" w:hAnsi="Arial Black"/>
                <w:sz w:val="24"/>
                <w:szCs w:val="24"/>
              </w:rPr>
              <w:t>Total Capital</w:t>
            </w:r>
          </w:p>
        </w:tc>
      </w:tr>
      <w:tr w:rsidR="00143212" w:rsidTr="00143212">
        <w:tc>
          <w:tcPr>
            <w:tcW w:w="2660" w:type="dxa"/>
          </w:tcPr>
          <w:p w:rsidR="00143212" w:rsidRDefault="00143212" w:rsidP="009020DA">
            <w:pPr>
              <w:pStyle w:val="NoSpacing"/>
              <w:rPr>
                <w:rFonts w:ascii="Arial Black" w:hAnsi="Arial Black"/>
                <w:sz w:val="24"/>
                <w:szCs w:val="24"/>
              </w:rPr>
            </w:pPr>
            <w:r>
              <w:rPr>
                <w:rFonts w:ascii="Arial Black" w:hAnsi="Arial Black"/>
                <w:sz w:val="24"/>
                <w:szCs w:val="24"/>
              </w:rPr>
              <w:t>Base Minimum</w:t>
            </w:r>
          </w:p>
        </w:tc>
        <w:tc>
          <w:tcPr>
            <w:tcW w:w="3260" w:type="dxa"/>
          </w:tcPr>
          <w:p w:rsidR="00143212" w:rsidRDefault="009020DA" w:rsidP="00AE2CCC">
            <w:pPr>
              <w:pStyle w:val="NoSpacing"/>
              <w:rPr>
                <w:rFonts w:ascii="Arial Black" w:hAnsi="Arial Black"/>
                <w:sz w:val="24"/>
                <w:szCs w:val="24"/>
              </w:rPr>
            </w:pPr>
            <w:r>
              <w:rPr>
                <w:rFonts w:ascii="Arial Black" w:hAnsi="Arial Black"/>
                <w:sz w:val="24"/>
                <w:szCs w:val="24"/>
              </w:rPr>
              <w:t>6.</w:t>
            </w:r>
            <w:r w:rsidR="00AE2CCC">
              <w:rPr>
                <w:rFonts w:ascii="Arial Black" w:hAnsi="Arial Black"/>
                <w:sz w:val="24"/>
                <w:szCs w:val="24"/>
              </w:rPr>
              <w:t>25</w:t>
            </w:r>
            <w:r>
              <w:rPr>
                <w:rFonts w:ascii="Arial Black" w:hAnsi="Arial Black"/>
                <w:sz w:val="24"/>
                <w:szCs w:val="24"/>
              </w:rPr>
              <w:t>%</w:t>
            </w:r>
          </w:p>
        </w:tc>
        <w:tc>
          <w:tcPr>
            <w:tcW w:w="3402" w:type="dxa"/>
          </w:tcPr>
          <w:p w:rsidR="00143212" w:rsidRDefault="00AE2CCC" w:rsidP="009020DA">
            <w:pPr>
              <w:pStyle w:val="NoSpacing"/>
              <w:rPr>
                <w:rFonts w:ascii="Arial Black" w:hAnsi="Arial Black"/>
                <w:sz w:val="24"/>
                <w:szCs w:val="24"/>
              </w:rPr>
            </w:pPr>
            <w:r>
              <w:rPr>
                <w:rFonts w:ascii="Arial Black" w:hAnsi="Arial Black"/>
                <w:sz w:val="24"/>
                <w:szCs w:val="24"/>
              </w:rPr>
              <w:t>9.75</w:t>
            </w:r>
            <w:r w:rsidR="009020DA">
              <w:rPr>
                <w:rFonts w:ascii="Arial Black" w:hAnsi="Arial Black"/>
                <w:sz w:val="24"/>
                <w:szCs w:val="24"/>
              </w:rPr>
              <w:t>%</w:t>
            </w:r>
          </w:p>
        </w:tc>
      </w:tr>
      <w:tr w:rsidR="00143212" w:rsidTr="00143212">
        <w:tc>
          <w:tcPr>
            <w:tcW w:w="2660" w:type="dxa"/>
          </w:tcPr>
          <w:p w:rsidR="00143212" w:rsidRDefault="00143212" w:rsidP="00C31B11">
            <w:pPr>
              <w:pStyle w:val="NoSpacing"/>
              <w:rPr>
                <w:rFonts w:ascii="Arial Black" w:hAnsi="Arial Black"/>
                <w:sz w:val="24"/>
                <w:szCs w:val="24"/>
              </w:rPr>
            </w:pPr>
            <w:r>
              <w:rPr>
                <w:rFonts w:ascii="Arial Black" w:hAnsi="Arial Black"/>
                <w:sz w:val="24"/>
                <w:szCs w:val="24"/>
              </w:rPr>
              <w:t xml:space="preserve">Add-on systemically important bank (SIB) </w:t>
            </w:r>
          </w:p>
        </w:tc>
        <w:tc>
          <w:tcPr>
            <w:tcW w:w="3260" w:type="dxa"/>
          </w:tcPr>
          <w:p w:rsidR="00143212" w:rsidRPr="007455BD" w:rsidRDefault="009020DA" w:rsidP="009020DA">
            <w:pPr>
              <w:pStyle w:val="NoSpacing"/>
              <w:rPr>
                <w:rFonts w:ascii="Arial Black" w:hAnsi="Arial Black"/>
                <w:sz w:val="24"/>
                <w:szCs w:val="24"/>
                <w:u w:val="single"/>
              </w:rPr>
            </w:pPr>
            <w:r w:rsidRPr="007455BD">
              <w:rPr>
                <w:rFonts w:ascii="Arial Black" w:hAnsi="Arial Black"/>
                <w:sz w:val="24"/>
                <w:szCs w:val="24"/>
                <w:u w:val="single"/>
              </w:rPr>
              <w:t>0.00%</w:t>
            </w:r>
          </w:p>
        </w:tc>
        <w:tc>
          <w:tcPr>
            <w:tcW w:w="3402" w:type="dxa"/>
          </w:tcPr>
          <w:p w:rsidR="00143212" w:rsidRPr="007455BD" w:rsidRDefault="009020DA" w:rsidP="009020DA">
            <w:pPr>
              <w:pStyle w:val="NoSpacing"/>
              <w:rPr>
                <w:rFonts w:ascii="Arial Black" w:hAnsi="Arial Black"/>
                <w:sz w:val="24"/>
                <w:szCs w:val="24"/>
                <w:u w:val="single"/>
              </w:rPr>
            </w:pPr>
            <w:r w:rsidRPr="007455BD">
              <w:rPr>
                <w:rFonts w:ascii="Arial Black" w:hAnsi="Arial Black"/>
                <w:sz w:val="24"/>
                <w:szCs w:val="24"/>
                <w:u w:val="single"/>
              </w:rPr>
              <w:t>0.00%</w:t>
            </w:r>
          </w:p>
        </w:tc>
      </w:tr>
      <w:tr w:rsidR="00143212" w:rsidTr="00143212">
        <w:tc>
          <w:tcPr>
            <w:tcW w:w="2660" w:type="dxa"/>
          </w:tcPr>
          <w:p w:rsidR="00143212" w:rsidRDefault="00143212" w:rsidP="00143212">
            <w:pPr>
              <w:pStyle w:val="NoSpacing"/>
              <w:rPr>
                <w:rFonts w:ascii="Arial Black" w:hAnsi="Arial Black"/>
                <w:sz w:val="24"/>
                <w:szCs w:val="24"/>
              </w:rPr>
            </w:pPr>
            <w:r>
              <w:rPr>
                <w:rFonts w:ascii="Arial Black" w:hAnsi="Arial Black"/>
                <w:sz w:val="24"/>
                <w:szCs w:val="24"/>
              </w:rPr>
              <w:t>Minimum Required capital, including SIB add-on</w:t>
            </w:r>
          </w:p>
        </w:tc>
        <w:tc>
          <w:tcPr>
            <w:tcW w:w="3260" w:type="dxa"/>
          </w:tcPr>
          <w:p w:rsidR="00143212" w:rsidRDefault="009020DA" w:rsidP="00AE2CCC">
            <w:pPr>
              <w:pStyle w:val="NoSpacing"/>
              <w:jc w:val="both"/>
              <w:rPr>
                <w:rFonts w:ascii="Arial Black" w:hAnsi="Arial Black"/>
                <w:sz w:val="24"/>
                <w:szCs w:val="24"/>
              </w:rPr>
            </w:pPr>
            <w:r>
              <w:rPr>
                <w:rFonts w:ascii="Arial Black" w:hAnsi="Arial Black"/>
                <w:sz w:val="24"/>
                <w:szCs w:val="24"/>
              </w:rPr>
              <w:t>6.</w:t>
            </w:r>
            <w:r w:rsidR="00AE2CCC">
              <w:rPr>
                <w:rFonts w:ascii="Arial Black" w:hAnsi="Arial Black"/>
                <w:sz w:val="24"/>
                <w:szCs w:val="24"/>
              </w:rPr>
              <w:t>25</w:t>
            </w:r>
            <w:r>
              <w:rPr>
                <w:rFonts w:ascii="Arial Black" w:hAnsi="Arial Black"/>
                <w:sz w:val="24"/>
                <w:szCs w:val="24"/>
              </w:rPr>
              <w:t>%</w:t>
            </w:r>
          </w:p>
        </w:tc>
        <w:tc>
          <w:tcPr>
            <w:tcW w:w="3402" w:type="dxa"/>
          </w:tcPr>
          <w:p w:rsidR="00143212" w:rsidRDefault="00AE2CCC" w:rsidP="00B31813">
            <w:pPr>
              <w:pStyle w:val="NoSpacing"/>
              <w:jc w:val="both"/>
              <w:rPr>
                <w:rFonts w:ascii="Arial Black" w:hAnsi="Arial Black"/>
                <w:sz w:val="24"/>
                <w:szCs w:val="24"/>
              </w:rPr>
            </w:pPr>
            <w:r>
              <w:rPr>
                <w:rFonts w:ascii="Arial Black" w:hAnsi="Arial Black"/>
                <w:sz w:val="24"/>
                <w:szCs w:val="24"/>
              </w:rPr>
              <w:t>9.75</w:t>
            </w:r>
            <w:r w:rsidR="009020DA">
              <w:rPr>
                <w:rFonts w:ascii="Arial Black" w:hAnsi="Arial Black"/>
                <w:sz w:val="24"/>
                <w:szCs w:val="24"/>
              </w:rPr>
              <w:t>%</w:t>
            </w:r>
          </w:p>
        </w:tc>
      </w:tr>
      <w:tr w:rsidR="00143212" w:rsidTr="00143212">
        <w:tc>
          <w:tcPr>
            <w:tcW w:w="2660" w:type="dxa"/>
          </w:tcPr>
          <w:p w:rsidR="00143212" w:rsidRDefault="00143212" w:rsidP="00143212">
            <w:pPr>
              <w:pStyle w:val="NoSpacing"/>
              <w:rPr>
                <w:rFonts w:ascii="Arial Black" w:hAnsi="Arial Black"/>
                <w:sz w:val="24"/>
                <w:szCs w:val="24"/>
              </w:rPr>
            </w:pPr>
            <w:r>
              <w:rPr>
                <w:rFonts w:ascii="Arial Black" w:hAnsi="Arial Black"/>
                <w:sz w:val="24"/>
                <w:szCs w:val="24"/>
              </w:rPr>
              <w:lastRenderedPageBreak/>
              <w:t>Add-on: idiosyncratic requirement specified by The Registrar</w:t>
            </w:r>
          </w:p>
        </w:tc>
        <w:tc>
          <w:tcPr>
            <w:tcW w:w="3260" w:type="dxa"/>
          </w:tcPr>
          <w:p w:rsidR="00143212" w:rsidRPr="00CE16DD" w:rsidRDefault="009020DA" w:rsidP="009020DA">
            <w:pPr>
              <w:pStyle w:val="NoSpacing"/>
              <w:jc w:val="both"/>
              <w:rPr>
                <w:rFonts w:ascii="Arial Black" w:hAnsi="Arial Black"/>
                <w:sz w:val="24"/>
                <w:szCs w:val="24"/>
              </w:rPr>
            </w:pPr>
            <w:r w:rsidRPr="00CE16DD">
              <w:rPr>
                <w:rFonts w:ascii="Arial Black" w:hAnsi="Arial Black"/>
                <w:sz w:val="24"/>
                <w:szCs w:val="24"/>
              </w:rPr>
              <w:t>0.</w:t>
            </w:r>
            <w:r w:rsidR="00CE16DD" w:rsidRPr="00CE16DD">
              <w:rPr>
                <w:rFonts w:ascii="Arial Black" w:hAnsi="Arial Black"/>
                <w:sz w:val="24"/>
                <w:szCs w:val="24"/>
              </w:rPr>
              <w:t>1</w:t>
            </w:r>
            <w:r w:rsidRPr="00CE16DD">
              <w:rPr>
                <w:rFonts w:ascii="Arial Black" w:hAnsi="Arial Black"/>
                <w:sz w:val="24"/>
                <w:szCs w:val="24"/>
              </w:rPr>
              <w:t>25%</w:t>
            </w:r>
          </w:p>
        </w:tc>
        <w:tc>
          <w:tcPr>
            <w:tcW w:w="3402" w:type="dxa"/>
          </w:tcPr>
          <w:p w:rsidR="00143212" w:rsidRPr="00CE16DD" w:rsidRDefault="009020DA" w:rsidP="009020DA">
            <w:pPr>
              <w:pStyle w:val="NoSpacing"/>
              <w:jc w:val="both"/>
              <w:rPr>
                <w:rFonts w:ascii="Arial Black" w:hAnsi="Arial Black"/>
                <w:sz w:val="24"/>
                <w:szCs w:val="24"/>
              </w:rPr>
            </w:pPr>
            <w:r w:rsidRPr="00CE16DD">
              <w:rPr>
                <w:rFonts w:ascii="Arial Black" w:hAnsi="Arial Black"/>
                <w:sz w:val="24"/>
                <w:szCs w:val="24"/>
              </w:rPr>
              <w:t>0.25%</w:t>
            </w:r>
          </w:p>
        </w:tc>
      </w:tr>
      <w:tr w:rsidR="00143212" w:rsidTr="00143212">
        <w:tc>
          <w:tcPr>
            <w:tcW w:w="2660" w:type="dxa"/>
          </w:tcPr>
          <w:p w:rsidR="00143212" w:rsidRDefault="00B822F4" w:rsidP="00143212">
            <w:pPr>
              <w:pStyle w:val="NoSpacing"/>
              <w:rPr>
                <w:rFonts w:ascii="Arial Black" w:hAnsi="Arial Black"/>
                <w:sz w:val="24"/>
                <w:szCs w:val="24"/>
              </w:rPr>
            </w:pPr>
            <w:r>
              <w:rPr>
                <w:rFonts w:ascii="Arial Black" w:hAnsi="Arial Black"/>
                <w:sz w:val="24"/>
                <w:szCs w:val="24"/>
              </w:rPr>
              <w:t>Minimum Required ratio, prior to buffer</w:t>
            </w:r>
          </w:p>
        </w:tc>
        <w:tc>
          <w:tcPr>
            <w:tcW w:w="3260" w:type="dxa"/>
          </w:tcPr>
          <w:p w:rsidR="00143212" w:rsidRDefault="009020DA" w:rsidP="00AE2CCC">
            <w:pPr>
              <w:pStyle w:val="NoSpacing"/>
              <w:jc w:val="both"/>
              <w:rPr>
                <w:rFonts w:ascii="Arial Black" w:hAnsi="Arial Black"/>
                <w:sz w:val="24"/>
                <w:szCs w:val="24"/>
              </w:rPr>
            </w:pPr>
            <w:r>
              <w:rPr>
                <w:rFonts w:ascii="Arial Black" w:hAnsi="Arial Black"/>
                <w:sz w:val="24"/>
                <w:szCs w:val="24"/>
              </w:rPr>
              <w:t>6.</w:t>
            </w:r>
            <w:r w:rsidR="00AE2CCC">
              <w:rPr>
                <w:rFonts w:ascii="Arial Black" w:hAnsi="Arial Black"/>
                <w:sz w:val="24"/>
                <w:szCs w:val="24"/>
              </w:rPr>
              <w:t>375</w:t>
            </w:r>
            <w:r>
              <w:rPr>
                <w:rFonts w:ascii="Arial Black" w:hAnsi="Arial Black"/>
                <w:sz w:val="24"/>
                <w:szCs w:val="24"/>
              </w:rPr>
              <w:t>%</w:t>
            </w:r>
          </w:p>
        </w:tc>
        <w:tc>
          <w:tcPr>
            <w:tcW w:w="3402" w:type="dxa"/>
          </w:tcPr>
          <w:p w:rsidR="00143212" w:rsidRDefault="00AE2CCC" w:rsidP="00AE2CCC">
            <w:pPr>
              <w:pStyle w:val="NoSpacing"/>
              <w:jc w:val="both"/>
              <w:rPr>
                <w:rFonts w:ascii="Arial Black" w:hAnsi="Arial Black"/>
                <w:sz w:val="24"/>
                <w:szCs w:val="24"/>
              </w:rPr>
            </w:pPr>
            <w:r>
              <w:rPr>
                <w:rFonts w:ascii="Arial Black" w:hAnsi="Arial Black"/>
                <w:sz w:val="24"/>
                <w:szCs w:val="24"/>
              </w:rPr>
              <w:t>10.00</w:t>
            </w:r>
            <w:r w:rsidR="009020DA">
              <w:rPr>
                <w:rFonts w:ascii="Arial Black" w:hAnsi="Arial Black"/>
                <w:sz w:val="24"/>
                <w:szCs w:val="24"/>
              </w:rPr>
              <w:t>%</w:t>
            </w:r>
          </w:p>
        </w:tc>
      </w:tr>
      <w:tr w:rsidR="00143212" w:rsidTr="00143212">
        <w:tc>
          <w:tcPr>
            <w:tcW w:w="2660" w:type="dxa"/>
          </w:tcPr>
          <w:p w:rsidR="00143212" w:rsidRDefault="00B822F4" w:rsidP="00143212">
            <w:pPr>
              <w:pStyle w:val="NoSpacing"/>
              <w:rPr>
                <w:rFonts w:ascii="Arial Black" w:hAnsi="Arial Black"/>
                <w:sz w:val="24"/>
                <w:szCs w:val="24"/>
              </w:rPr>
            </w:pPr>
            <w:r>
              <w:rPr>
                <w:rFonts w:ascii="Arial Black" w:hAnsi="Arial Black"/>
                <w:sz w:val="24"/>
                <w:szCs w:val="24"/>
              </w:rPr>
              <w:t>Add on countercyclical buffer</w:t>
            </w:r>
          </w:p>
        </w:tc>
        <w:tc>
          <w:tcPr>
            <w:tcW w:w="3260" w:type="dxa"/>
          </w:tcPr>
          <w:p w:rsidR="00143212" w:rsidRDefault="009020DA" w:rsidP="00B31813">
            <w:pPr>
              <w:pStyle w:val="NoSpacing"/>
              <w:jc w:val="both"/>
              <w:rPr>
                <w:rFonts w:ascii="Arial Black" w:hAnsi="Arial Black"/>
                <w:sz w:val="24"/>
                <w:szCs w:val="24"/>
              </w:rPr>
            </w:pPr>
            <w:r>
              <w:rPr>
                <w:rFonts w:ascii="Arial Black" w:hAnsi="Arial Black"/>
                <w:sz w:val="24"/>
                <w:szCs w:val="24"/>
              </w:rPr>
              <w:t>0.00%</w:t>
            </w:r>
          </w:p>
        </w:tc>
        <w:tc>
          <w:tcPr>
            <w:tcW w:w="3402" w:type="dxa"/>
          </w:tcPr>
          <w:p w:rsidR="00143212" w:rsidRDefault="009020DA" w:rsidP="00B31813">
            <w:pPr>
              <w:pStyle w:val="NoSpacing"/>
              <w:jc w:val="both"/>
              <w:rPr>
                <w:rFonts w:ascii="Arial Black" w:hAnsi="Arial Black"/>
                <w:sz w:val="24"/>
                <w:szCs w:val="24"/>
              </w:rPr>
            </w:pPr>
            <w:r>
              <w:rPr>
                <w:rFonts w:ascii="Arial Black" w:hAnsi="Arial Black"/>
                <w:sz w:val="24"/>
                <w:szCs w:val="24"/>
              </w:rPr>
              <w:t>0.00%</w:t>
            </w:r>
          </w:p>
        </w:tc>
      </w:tr>
      <w:tr w:rsidR="00B822F4" w:rsidTr="00143212">
        <w:tc>
          <w:tcPr>
            <w:tcW w:w="2660" w:type="dxa"/>
          </w:tcPr>
          <w:p w:rsidR="00B822F4" w:rsidRDefault="00B822F4" w:rsidP="00143212">
            <w:pPr>
              <w:pStyle w:val="NoSpacing"/>
              <w:rPr>
                <w:rFonts w:ascii="Arial Black" w:hAnsi="Arial Black"/>
                <w:sz w:val="24"/>
                <w:szCs w:val="24"/>
              </w:rPr>
            </w:pPr>
            <w:r>
              <w:rPr>
                <w:rFonts w:ascii="Arial Black" w:hAnsi="Arial Black"/>
                <w:sz w:val="24"/>
                <w:szCs w:val="24"/>
              </w:rPr>
              <w:t>Add-on: conservation buffer</w:t>
            </w:r>
          </w:p>
        </w:tc>
        <w:tc>
          <w:tcPr>
            <w:tcW w:w="3260" w:type="dxa"/>
          </w:tcPr>
          <w:p w:rsidR="00B822F4" w:rsidRDefault="00750FA8" w:rsidP="00B31813">
            <w:pPr>
              <w:pStyle w:val="NoSpacing"/>
              <w:jc w:val="both"/>
              <w:rPr>
                <w:rFonts w:ascii="Arial Black" w:hAnsi="Arial Black"/>
                <w:sz w:val="24"/>
                <w:szCs w:val="24"/>
              </w:rPr>
            </w:pPr>
            <w:r>
              <w:rPr>
                <w:rFonts w:ascii="Arial Black" w:hAnsi="Arial Black"/>
                <w:sz w:val="24"/>
                <w:szCs w:val="24"/>
              </w:rPr>
              <w:t>0.625</w:t>
            </w:r>
            <w:r w:rsidR="009020DA">
              <w:rPr>
                <w:rFonts w:ascii="Arial Black" w:hAnsi="Arial Black"/>
                <w:sz w:val="24"/>
                <w:szCs w:val="24"/>
              </w:rPr>
              <w:t>%</w:t>
            </w:r>
          </w:p>
        </w:tc>
        <w:tc>
          <w:tcPr>
            <w:tcW w:w="3402" w:type="dxa"/>
          </w:tcPr>
          <w:p w:rsidR="00B822F4" w:rsidRDefault="009020DA" w:rsidP="00750FA8">
            <w:pPr>
              <w:pStyle w:val="NoSpacing"/>
              <w:jc w:val="both"/>
              <w:rPr>
                <w:rFonts w:ascii="Arial Black" w:hAnsi="Arial Black"/>
                <w:sz w:val="24"/>
                <w:szCs w:val="24"/>
              </w:rPr>
            </w:pPr>
            <w:r>
              <w:rPr>
                <w:rFonts w:ascii="Arial Black" w:hAnsi="Arial Black"/>
                <w:sz w:val="24"/>
                <w:szCs w:val="24"/>
              </w:rPr>
              <w:t>0.</w:t>
            </w:r>
            <w:r w:rsidR="00750FA8">
              <w:rPr>
                <w:rFonts w:ascii="Arial Black" w:hAnsi="Arial Black"/>
                <w:sz w:val="24"/>
                <w:szCs w:val="24"/>
              </w:rPr>
              <w:t>63</w:t>
            </w:r>
            <w:r>
              <w:rPr>
                <w:rFonts w:ascii="Arial Black" w:hAnsi="Arial Black"/>
                <w:sz w:val="24"/>
                <w:szCs w:val="24"/>
              </w:rPr>
              <w:t>%</w:t>
            </w:r>
          </w:p>
        </w:tc>
      </w:tr>
    </w:tbl>
    <w:p w:rsidR="00F7397A" w:rsidRDefault="00F7397A" w:rsidP="00B31813">
      <w:pPr>
        <w:pStyle w:val="NoSpacing"/>
        <w:jc w:val="both"/>
        <w:rPr>
          <w:rFonts w:ascii="Arial Black" w:hAnsi="Arial Black"/>
          <w:sz w:val="24"/>
          <w:szCs w:val="24"/>
        </w:rPr>
      </w:pPr>
    </w:p>
    <w:p w:rsidR="0003505B" w:rsidRDefault="00BD038B" w:rsidP="002C434F">
      <w:pPr>
        <w:pStyle w:val="NoSpacing"/>
        <w:rPr>
          <w:rFonts w:ascii="Arial Black" w:hAnsi="Arial Black"/>
          <w:b/>
          <w:sz w:val="24"/>
          <w:szCs w:val="24"/>
          <w:u w:val="single"/>
        </w:rPr>
      </w:pPr>
      <w:r>
        <w:rPr>
          <w:rFonts w:ascii="Arial Black" w:hAnsi="Arial Black"/>
          <w:b/>
          <w:sz w:val="24"/>
          <w:szCs w:val="24"/>
          <w:u w:val="single"/>
        </w:rPr>
        <w:t>I</w:t>
      </w:r>
      <w:r w:rsidR="00B822F4">
        <w:rPr>
          <w:rFonts w:ascii="Arial Black" w:hAnsi="Arial Black"/>
          <w:b/>
          <w:sz w:val="24"/>
          <w:szCs w:val="24"/>
          <w:u w:val="single"/>
        </w:rPr>
        <w:t>I</w:t>
      </w:r>
      <w:r>
        <w:rPr>
          <w:rFonts w:ascii="Arial Black" w:hAnsi="Arial Black"/>
          <w:b/>
          <w:sz w:val="24"/>
          <w:szCs w:val="24"/>
          <w:u w:val="single"/>
        </w:rPr>
        <w:t xml:space="preserve">. </w:t>
      </w:r>
      <w:r w:rsidR="0003505B">
        <w:rPr>
          <w:rFonts w:ascii="Arial Black" w:hAnsi="Arial Black"/>
          <w:b/>
          <w:sz w:val="24"/>
          <w:szCs w:val="24"/>
          <w:u w:val="single"/>
        </w:rPr>
        <w:t>Liquidity risk</w:t>
      </w:r>
    </w:p>
    <w:p w:rsidR="00DA1B73" w:rsidRDefault="00DA1B73" w:rsidP="002C434F">
      <w:pPr>
        <w:pStyle w:val="NoSpacing"/>
        <w:ind w:left="720"/>
        <w:rPr>
          <w:rFonts w:ascii="Arial Black" w:hAnsi="Arial Black"/>
          <w:b/>
          <w:sz w:val="24"/>
          <w:szCs w:val="24"/>
        </w:rPr>
      </w:pPr>
    </w:p>
    <w:tbl>
      <w:tblPr>
        <w:tblStyle w:val="TableGrid"/>
        <w:tblW w:w="0" w:type="auto"/>
        <w:tblInd w:w="108" w:type="dxa"/>
        <w:tblLook w:val="04A0" w:firstRow="1" w:lastRow="0" w:firstColumn="1" w:lastColumn="0" w:noHBand="0" w:noVBand="1"/>
      </w:tblPr>
      <w:tblGrid>
        <w:gridCol w:w="4872"/>
        <w:gridCol w:w="4262"/>
      </w:tblGrid>
      <w:tr w:rsidR="00DA1B73" w:rsidTr="00B822F4">
        <w:tc>
          <w:tcPr>
            <w:tcW w:w="4872" w:type="dxa"/>
            <w:shd w:val="clear" w:color="auto" w:fill="C6D9F1" w:themeFill="text2" w:themeFillTint="33"/>
          </w:tcPr>
          <w:p w:rsidR="00DA1B73" w:rsidRDefault="00DA1B73" w:rsidP="00E32D37">
            <w:pPr>
              <w:pStyle w:val="NoSpacing"/>
              <w:ind w:left="-720" w:firstLine="720"/>
              <w:rPr>
                <w:rFonts w:ascii="Arial Black" w:hAnsi="Arial Black"/>
                <w:b/>
                <w:sz w:val="24"/>
                <w:szCs w:val="24"/>
              </w:rPr>
            </w:pPr>
            <w:r w:rsidRPr="00DA1B73">
              <w:rPr>
                <w:rFonts w:ascii="Arial Black" w:hAnsi="Arial Black"/>
                <w:b/>
                <w:outline/>
                <w:color w:val="C0504D" w:themeColor="accent2"/>
                <w:sz w:val="24"/>
                <w:szCs w:val="24"/>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3</w:t>
            </w:r>
            <w:r w:rsidR="00E32D37">
              <w:rPr>
                <w:rFonts w:ascii="Arial Black" w:hAnsi="Arial Black"/>
                <w:b/>
                <w:outline/>
                <w:color w:val="C0504D" w:themeColor="accent2"/>
                <w:sz w:val="24"/>
                <w:szCs w:val="24"/>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0 June 20</w:t>
            </w:r>
            <w:r w:rsidRPr="00DA1B73">
              <w:rPr>
                <w:rFonts w:ascii="Arial Black" w:hAnsi="Arial Black"/>
                <w:b/>
                <w:outline/>
                <w:color w:val="C0504D" w:themeColor="accent2"/>
                <w:sz w:val="24"/>
                <w:szCs w:val="24"/>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1</w:t>
            </w:r>
            <w:r w:rsidR="00750FA8">
              <w:rPr>
                <w:rFonts w:ascii="Arial Black" w:hAnsi="Arial Black"/>
                <w:b/>
                <w:outline/>
                <w:color w:val="C0504D" w:themeColor="accent2"/>
                <w:sz w:val="24"/>
                <w:szCs w:val="24"/>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6</w:t>
            </w:r>
            <w:r w:rsidRPr="00DA1B73">
              <w:rPr>
                <w:rFonts w:ascii="Arial Black" w:hAnsi="Arial Black"/>
                <w:b/>
                <w:outline/>
                <w:color w:val="C0504D" w:themeColor="accent2"/>
                <w:sz w:val="24"/>
                <w:szCs w:val="24"/>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 xml:space="preserve"> </w:t>
            </w:r>
          </w:p>
        </w:tc>
        <w:tc>
          <w:tcPr>
            <w:tcW w:w="4262" w:type="dxa"/>
            <w:shd w:val="clear" w:color="auto" w:fill="C6D9F1" w:themeFill="text2" w:themeFillTint="33"/>
          </w:tcPr>
          <w:p w:rsidR="00DA1B73" w:rsidRDefault="00B822F4" w:rsidP="00B822F4">
            <w:pPr>
              <w:pStyle w:val="NoSpacing"/>
              <w:rPr>
                <w:rFonts w:ascii="Arial Black" w:hAnsi="Arial Black"/>
                <w:b/>
                <w:sz w:val="24"/>
                <w:szCs w:val="24"/>
              </w:rPr>
            </w:pPr>
            <w:r>
              <w:rPr>
                <w:rFonts w:ascii="Arial Black" w:hAnsi="Arial Black"/>
                <w:b/>
                <w:sz w:val="24"/>
                <w:szCs w:val="24"/>
              </w:rPr>
              <w:t>Weighted Total</w:t>
            </w:r>
          </w:p>
        </w:tc>
      </w:tr>
      <w:tr w:rsidR="00F90ADF" w:rsidTr="00F90ADF">
        <w:tc>
          <w:tcPr>
            <w:tcW w:w="4872" w:type="dxa"/>
          </w:tcPr>
          <w:p w:rsidR="00F90ADF" w:rsidRDefault="00F90ADF" w:rsidP="002C434F">
            <w:pPr>
              <w:pStyle w:val="NoSpacing"/>
              <w:rPr>
                <w:rFonts w:ascii="Arial Black" w:hAnsi="Arial Black"/>
                <w:b/>
                <w:sz w:val="24"/>
                <w:szCs w:val="24"/>
              </w:rPr>
            </w:pPr>
            <w:r>
              <w:rPr>
                <w:rFonts w:ascii="Arial Black" w:hAnsi="Arial Black"/>
                <w:b/>
                <w:sz w:val="24"/>
                <w:szCs w:val="24"/>
              </w:rPr>
              <w:t>Total High Quality Liquid Assets</w:t>
            </w:r>
          </w:p>
        </w:tc>
        <w:tc>
          <w:tcPr>
            <w:tcW w:w="4262" w:type="dxa"/>
            <w:vAlign w:val="center"/>
          </w:tcPr>
          <w:p w:rsidR="00F90ADF" w:rsidRDefault="00E53661" w:rsidP="00E53661">
            <w:pPr>
              <w:jc w:val="right"/>
              <w:rPr>
                <w:rFonts w:ascii="Arial Black" w:hAnsi="Arial Black" w:cs="Calibri"/>
                <w:b/>
                <w:bCs/>
                <w:color w:val="000000"/>
                <w:sz w:val="24"/>
                <w:szCs w:val="24"/>
              </w:rPr>
            </w:pPr>
            <w:r>
              <w:rPr>
                <w:rFonts w:ascii="Arial Black" w:hAnsi="Arial Black" w:cs="Calibri"/>
                <w:b/>
                <w:bCs/>
                <w:color w:val="000000"/>
              </w:rPr>
              <w:t>15 971 119</w:t>
            </w:r>
          </w:p>
        </w:tc>
      </w:tr>
      <w:tr w:rsidR="00F90ADF" w:rsidTr="00F90ADF">
        <w:tc>
          <w:tcPr>
            <w:tcW w:w="4872" w:type="dxa"/>
          </w:tcPr>
          <w:p w:rsidR="00F90ADF" w:rsidRDefault="00F90ADF" w:rsidP="00B822F4">
            <w:pPr>
              <w:pStyle w:val="NoSpacing"/>
              <w:rPr>
                <w:rFonts w:ascii="Arial Black" w:hAnsi="Arial Black"/>
                <w:b/>
                <w:sz w:val="24"/>
                <w:szCs w:val="24"/>
              </w:rPr>
            </w:pPr>
            <w:r>
              <w:rPr>
                <w:rFonts w:ascii="Arial Black" w:hAnsi="Arial Black"/>
                <w:b/>
                <w:sz w:val="24"/>
                <w:szCs w:val="24"/>
              </w:rPr>
              <w:t>Net Cash Outflow</w:t>
            </w:r>
          </w:p>
        </w:tc>
        <w:tc>
          <w:tcPr>
            <w:tcW w:w="4262" w:type="dxa"/>
            <w:vAlign w:val="center"/>
          </w:tcPr>
          <w:p w:rsidR="00F90ADF" w:rsidRDefault="00E53661" w:rsidP="00F90ADF">
            <w:pPr>
              <w:jc w:val="right"/>
              <w:rPr>
                <w:rFonts w:ascii="Arial Black" w:hAnsi="Arial Black" w:cs="Calibri"/>
                <w:b/>
                <w:bCs/>
                <w:color w:val="000000"/>
                <w:sz w:val="24"/>
                <w:szCs w:val="24"/>
              </w:rPr>
            </w:pPr>
            <w:r>
              <w:rPr>
                <w:rFonts w:ascii="Arial Black" w:hAnsi="Arial Black" w:cs="Calibri"/>
                <w:b/>
                <w:bCs/>
                <w:color w:val="000000"/>
              </w:rPr>
              <w:t>14 264 706</w:t>
            </w:r>
          </w:p>
        </w:tc>
      </w:tr>
      <w:tr w:rsidR="00F90ADF" w:rsidTr="00F90ADF">
        <w:tc>
          <w:tcPr>
            <w:tcW w:w="4872" w:type="dxa"/>
          </w:tcPr>
          <w:p w:rsidR="00F90ADF" w:rsidRDefault="00F90ADF" w:rsidP="002C434F">
            <w:pPr>
              <w:pStyle w:val="NoSpacing"/>
              <w:rPr>
                <w:rFonts w:ascii="Arial Black" w:hAnsi="Arial Black"/>
                <w:b/>
                <w:sz w:val="24"/>
                <w:szCs w:val="24"/>
              </w:rPr>
            </w:pPr>
            <w:r>
              <w:rPr>
                <w:rFonts w:ascii="Arial Black" w:hAnsi="Arial Black"/>
                <w:b/>
                <w:sz w:val="24"/>
                <w:szCs w:val="24"/>
              </w:rPr>
              <w:t>Liquidity coverage ratio (LCR)</w:t>
            </w:r>
          </w:p>
        </w:tc>
        <w:tc>
          <w:tcPr>
            <w:tcW w:w="4262" w:type="dxa"/>
            <w:vAlign w:val="center"/>
          </w:tcPr>
          <w:p w:rsidR="00F90ADF" w:rsidRDefault="00750FA8" w:rsidP="00E53661">
            <w:pPr>
              <w:jc w:val="right"/>
              <w:rPr>
                <w:rFonts w:ascii="Arial Black" w:hAnsi="Arial Black" w:cs="Calibri"/>
                <w:b/>
                <w:bCs/>
                <w:color w:val="000000"/>
                <w:sz w:val="24"/>
                <w:szCs w:val="24"/>
              </w:rPr>
            </w:pPr>
            <w:r>
              <w:rPr>
                <w:rFonts w:ascii="Arial Black" w:hAnsi="Arial Black" w:cs="Calibri"/>
                <w:b/>
                <w:bCs/>
                <w:color w:val="000000"/>
                <w:sz w:val="24"/>
                <w:szCs w:val="24"/>
              </w:rPr>
              <w:t>1</w:t>
            </w:r>
            <w:r w:rsidR="00E53661">
              <w:rPr>
                <w:rFonts w:ascii="Arial Black" w:hAnsi="Arial Black" w:cs="Calibri"/>
                <w:b/>
                <w:bCs/>
                <w:color w:val="000000"/>
                <w:sz w:val="24"/>
                <w:szCs w:val="24"/>
              </w:rPr>
              <w:t>11.96</w:t>
            </w:r>
            <w:r w:rsidR="00F90ADF">
              <w:rPr>
                <w:rFonts w:ascii="Arial Black" w:hAnsi="Arial Black" w:cs="Calibri"/>
                <w:b/>
                <w:bCs/>
                <w:color w:val="000000"/>
                <w:sz w:val="24"/>
                <w:szCs w:val="24"/>
              </w:rPr>
              <w:t>%</w:t>
            </w:r>
          </w:p>
        </w:tc>
      </w:tr>
      <w:tr w:rsidR="00143212" w:rsidTr="00F90ADF">
        <w:tc>
          <w:tcPr>
            <w:tcW w:w="4872" w:type="dxa"/>
          </w:tcPr>
          <w:p w:rsidR="00143212" w:rsidRDefault="00647E8B" w:rsidP="007455BD">
            <w:pPr>
              <w:pStyle w:val="NoSpacing"/>
              <w:rPr>
                <w:rFonts w:ascii="Arial Black" w:hAnsi="Arial Black"/>
                <w:b/>
                <w:sz w:val="24"/>
                <w:szCs w:val="24"/>
              </w:rPr>
            </w:pPr>
            <w:r>
              <w:rPr>
                <w:rFonts w:ascii="Arial Black" w:hAnsi="Arial Black"/>
                <w:b/>
                <w:sz w:val="24"/>
                <w:szCs w:val="24"/>
              </w:rPr>
              <w:t>Required LCR ratio for 2016</w:t>
            </w:r>
            <w:bookmarkStart w:id="0" w:name="_GoBack"/>
            <w:bookmarkEnd w:id="0"/>
          </w:p>
        </w:tc>
        <w:tc>
          <w:tcPr>
            <w:tcW w:w="4262" w:type="dxa"/>
          </w:tcPr>
          <w:p w:rsidR="00143212" w:rsidRDefault="007455BD" w:rsidP="00F90ADF">
            <w:pPr>
              <w:pStyle w:val="NoSpacing"/>
              <w:jc w:val="right"/>
              <w:rPr>
                <w:rFonts w:ascii="Arial Black" w:hAnsi="Arial Black"/>
                <w:b/>
                <w:sz w:val="24"/>
                <w:szCs w:val="24"/>
              </w:rPr>
            </w:pPr>
            <w:r>
              <w:rPr>
                <w:rFonts w:ascii="Arial Black" w:hAnsi="Arial Black"/>
                <w:b/>
                <w:sz w:val="24"/>
                <w:szCs w:val="24"/>
              </w:rPr>
              <w:t>60%</w:t>
            </w:r>
          </w:p>
        </w:tc>
      </w:tr>
    </w:tbl>
    <w:p w:rsidR="00DA1B73" w:rsidRDefault="00DA1B73" w:rsidP="002C434F">
      <w:pPr>
        <w:pStyle w:val="NoSpacing"/>
        <w:ind w:left="720"/>
        <w:rPr>
          <w:rFonts w:ascii="Arial Black" w:hAnsi="Arial Black"/>
          <w:b/>
          <w:sz w:val="24"/>
          <w:szCs w:val="24"/>
        </w:rPr>
      </w:pPr>
    </w:p>
    <w:p w:rsidR="002C434F" w:rsidRDefault="002C434F" w:rsidP="0003505B">
      <w:pPr>
        <w:pStyle w:val="NoSpacing"/>
        <w:rPr>
          <w:rFonts w:ascii="Arial Black" w:hAnsi="Arial Black"/>
          <w:b/>
          <w:sz w:val="24"/>
          <w:szCs w:val="24"/>
        </w:rPr>
      </w:pPr>
    </w:p>
    <w:p w:rsidR="002E06ED" w:rsidRDefault="001D6937" w:rsidP="002E06ED">
      <w:pPr>
        <w:pStyle w:val="NoSpacing"/>
        <w:rPr>
          <w:rFonts w:ascii="Arial Black" w:hAnsi="Arial Black"/>
          <w:b/>
          <w:sz w:val="24"/>
          <w:szCs w:val="24"/>
        </w:rPr>
      </w:pPr>
      <w:r>
        <w:rPr>
          <w:rFonts w:ascii="Arial Black" w:hAnsi="Arial Black"/>
          <w:b/>
          <w:sz w:val="24"/>
          <w:szCs w:val="24"/>
        </w:rPr>
        <w:t xml:space="preserve">In conclusion, </w:t>
      </w:r>
      <w:r w:rsidR="00365DD9">
        <w:rPr>
          <w:rFonts w:ascii="Arial Black" w:hAnsi="Arial Black"/>
          <w:b/>
          <w:sz w:val="24"/>
          <w:szCs w:val="24"/>
        </w:rPr>
        <w:t>Citibank</w:t>
      </w:r>
      <w:r w:rsidR="002E70E9">
        <w:rPr>
          <w:rFonts w:ascii="Arial Black" w:hAnsi="Arial Black"/>
          <w:b/>
          <w:sz w:val="24"/>
          <w:szCs w:val="24"/>
        </w:rPr>
        <w:t>,</w:t>
      </w:r>
      <w:r w:rsidR="00365DD9">
        <w:rPr>
          <w:rFonts w:ascii="Arial Black" w:hAnsi="Arial Black"/>
          <w:b/>
          <w:sz w:val="24"/>
          <w:szCs w:val="24"/>
        </w:rPr>
        <w:t xml:space="preserve"> N.A. South Africa branch is</w:t>
      </w:r>
      <w:r w:rsidR="002E70E9">
        <w:rPr>
          <w:rFonts w:ascii="Arial Black" w:hAnsi="Arial Black"/>
          <w:b/>
          <w:sz w:val="24"/>
          <w:szCs w:val="24"/>
        </w:rPr>
        <w:t xml:space="preserve"> therefore</w:t>
      </w:r>
      <w:r w:rsidR="00365DD9">
        <w:rPr>
          <w:rFonts w:ascii="Arial Black" w:hAnsi="Arial Black"/>
          <w:b/>
          <w:sz w:val="24"/>
          <w:szCs w:val="24"/>
        </w:rPr>
        <w:t xml:space="preserve"> of the opinion that the aforementioned information provides sufficient public disclosure on the capital adequacy position</w:t>
      </w:r>
      <w:r w:rsidR="00143212">
        <w:rPr>
          <w:rFonts w:ascii="Arial Black" w:hAnsi="Arial Black"/>
          <w:b/>
          <w:sz w:val="24"/>
          <w:szCs w:val="24"/>
        </w:rPr>
        <w:t xml:space="preserve"> as at the end of 3</w:t>
      </w:r>
      <w:r w:rsidR="00BC5B80">
        <w:rPr>
          <w:rFonts w:ascii="Arial Black" w:hAnsi="Arial Black"/>
          <w:b/>
          <w:sz w:val="24"/>
          <w:szCs w:val="24"/>
        </w:rPr>
        <w:t>0 June</w:t>
      </w:r>
      <w:r w:rsidR="00750FA8">
        <w:rPr>
          <w:rFonts w:ascii="Arial Black" w:hAnsi="Arial Black"/>
          <w:b/>
          <w:sz w:val="24"/>
          <w:szCs w:val="24"/>
        </w:rPr>
        <w:t xml:space="preserve"> 2016</w:t>
      </w:r>
      <w:r w:rsidR="007455BD">
        <w:rPr>
          <w:rFonts w:ascii="Arial Black" w:hAnsi="Arial Black"/>
          <w:b/>
          <w:sz w:val="24"/>
          <w:szCs w:val="24"/>
        </w:rPr>
        <w:t xml:space="preserve">. </w:t>
      </w:r>
      <w:r w:rsidR="00143212">
        <w:rPr>
          <w:rFonts w:ascii="Arial Black" w:hAnsi="Arial Black"/>
          <w:b/>
          <w:sz w:val="24"/>
          <w:szCs w:val="24"/>
        </w:rPr>
        <w:t>A</w:t>
      </w:r>
      <w:r w:rsidR="007455BD">
        <w:rPr>
          <w:rFonts w:ascii="Arial Black" w:hAnsi="Arial Black"/>
          <w:b/>
          <w:sz w:val="24"/>
          <w:szCs w:val="24"/>
        </w:rPr>
        <w:t>s</w:t>
      </w:r>
      <w:r w:rsidR="00365DD9">
        <w:rPr>
          <w:rFonts w:ascii="Arial Black" w:hAnsi="Arial Black"/>
          <w:b/>
          <w:sz w:val="24"/>
          <w:szCs w:val="24"/>
        </w:rPr>
        <w:t xml:space="preserve"> Further information on product offerings by the South Africa franchise may be obtained by visiting </w:t>
      </w:r>
      <w:hyperlink r:id="rId9" w:history="1">
        <w:r w:rsidR="00F7397A" w:rsidRPr="0060137E">
          <w:rPr>
            <w:rStyle w:val="Hyperlink"/>
            <w:rFonts w:ascii="Arial Black" w:hAnsi="Arial Black"/>
            <w:b/>
            <w:sz w:val="24"/>
            <w:szCs w:val="24"/>
          </w:rPr>
          <w:t>http://www.citi.com/southafrica/homepage/index.htm</w:t>
        </w:r>
      </w:hyperlink>
    </w:p>
    <w:p w:rsidR="00F7397A" w:rsidRDefault="00F7397A" w:rsidP="002E06ED">
      <w:pPr>
        <w:pStyle w:val="NoSpacing"/>
        <w:rPr>
          <w:rFonts w:ascii="Arial Black" w:hAnsi="Arial Black"/>
          <w:b/>
          <w:sz w:val="24"/>
          <w:szCs w:val="24"/>
        </w:rPr>
      </w:pPr>
    </w:p>
    <w:p w:rsidR="002E70E9" w:rsidRDefault="001D6937" w:rsidP="002E06ED">
      <w:pPr>
        <w:pStyle w:val="NoSpacing"/>
        <w:rPr>
          <w:rFonts w:ascii="Arial Black" w:hAnsi="Arial Black"/>
          <w:b/>
          <w:sz w:val="24"/>
          <w:szCs w:val="24"/>
        </w:rPr>
      </w:pPr>
      <w:r>
        <w:rPr>
          <w:rFonts w:ascii="Arial Black" w:hAnsi="Arial Black"/>
          <w:b/>
          <w:sz w:val="24"/>
          <w:szCs w:val="24"/>
        </w:rPr>
        <w:t>Members of the public requiring</w:t>
      </w:r>
      <w:r w:rsidR="002E70E9">
        <w:rPr>
          <w:rFonts w:ascii="Arial Black" w:hAnsi="Arial Black"/>
          <w:b/>
          <w:sz w:val="24"/>
          <w:szCs w:val="24"/>
        </w:rPr>
        <w:t xml:space="preserve"> </w:t>
      </w:r>
      <w:r>
        <w:rPr>
          <w:rFonts w:ascii="Arial Black" w:hAnsi="Arial Black"/>
          <w:b/>
          <w:sz w:val="24"/>
          <w:szCs w:val="24"/>
        </w:rPr>
        <w:t xml:space="preserve">any </w:t>
      </w:r>
      <w:r w:rsidR="002E70E9">
        <w:rPr>
          <w:rFonts w:ascii="Arial Black" w:hAnsi="Arial Black"/>
          <w:b/>
          <w:sz w:val="24"/>
          <w:szCs w:val="24"/>
        </w:rPr>
        <w:t>further information</w:t>
      </w:r>
      <w:r w:rsidR="00D24B2B">
        <w:rPr>
          <w:rFonts w:ascii="Arial Black" w:hAnsi="Arial Black"/>
          <w:b/>
          <w:sz w:val="24"/>
          <w:szCs w:val="24"/>
        </w:rPr>
        <w:t xml:space="preserve"> pertaining to our public disclosure obligations</w:t>
      </w:r>
      <w:r w:rsidR="002E70E9">
        <w:rPr>
          <w:rFonts w:ascii="Arial Black" w:hAnsi="Arial Black"/>
          <w:b/>
          <w:sz w:val="24"/>
          <w:szCs w:val="24"/>
        </w:rPr>
        <w:t xml:space="preserve"> </w:t>
      </w:r>
      <w:r>
        <w:rPr>
          <w:rFonts w:ascii="Arial Black" w:hAnsi="Arial Black"/>
          <w:b/>
          <w:sz w:val="24"/>
          <w:szCs w:val="24"/>
        </w:rPr>
        <w:t>may contact our</w:t>
      </w:r>
      <w:r w:rsidR="002E70E9">
        <w:rPr>
          <w:rFonts w:ascii="Arial Black" w:hAnsi="Arial Black"/>
          <w:b/>
          <w:sz w:val="24"/>
          <w:szCs w:val="24"/>
        </w:rPr>
        <w:t xml:space="preserve"> </w:t>
      </w:r>
      <w:r>
        <w:rPr>
          <w:rFonts w:ascii="Arial Black" w:hAnsi="Arial Black"/>
          <w:b/>
          <w:sz w:val="24"/>
          <w:szCs w:val="24"/>
        </w:rPr>
        <w:t>Media Relations in South Africa</w:t>
      </w:r>
      <w:r w:rsidR="002E70E9">
        <w:rPr>
          <w:rFonts w:ascii="Arial Black" w:hAnsi="Arial Black"/>
          <w:b/>
          <w:sz w:val="24"/>
          <w:szCs w:val="24"/>
        </w:rPr>
        <w:t>.</w:t>
      </w:r>
    </w:p>
    <w:p w:rsidR="002E70E9" w:rsidRDefault="002E70E9" w:rsidP="002E06ED">
      <w:pPr>
        <w:pStyle w:val="NoSpacing"/>
        <w:rPr>
          <w:rFonts w:ascii="Arial Black" w:hAnsi="Arial Black"/>
          <w:b/>
          <w:sz w:val="24"/>
          <w:szCs w:val="24"/>
        </w:rPr>
      </w:pPr>
    </w:p>
    <w:p w:rsidR="00F7397A" w:rsidRDefault="002E70E9" w:rsidP="002E06ED">
      <w:pPr>
        <w:pStyle w:val="NoSpacing"/>
        <w:rPr>
          <w:rFonts w:ascii="Arial Black" w:hAnsi="Arial Black"/>
          <w:b/>
          <w:sz w:val="24"/>
          <w:szCs w:val="24"/>
        </w:rPr>
      </w:pPr>
      <w:r>
        <w:rPr>
          <w:rFonts w:ascii="Arial Black" w:hAnsi="Arial Black"/>
          <w:b/>
          <w:sz w:val="24"/>
          <w:szCs w:val="24"/>
        </w:rPr>
        <w:t>Citi</w:t>
      </w:r>
      <w:r w:rsidR="001D6937">
        <w:rPr>
          <w:rFonts w:ascii="Arial Black" w:hAnsi="Arial Black"/>
          <w:b/>
          <w:sz w:val="24"/>
          <w:szCs w:val="24"/>
        </w:rPr>
        <w:t xml:space="preserve">’s </w:t>
      </w:r>
      <w:r>
        <w:rPr>
          <w:rFonts w:ascii="Arial Black" w:hAnsi="Arial Black"/>
          <w:b/>
          <w:sz w:val="24"/>
          <w:szCs w:val="24"/>
        </w:rPr>
        <w:t xml:space="preserve">homepage also provides a comprehensive overview of </w:t>
      </w:r>
      <w:r w:rsidR="001D6937">
        <w:rPr>
          <w:rFonts w:ascii="Arial Black" w:hAnsi="Arial Black"/>
          <w:b/>
          <w:sz w:val="24"/>
          <w:szCs w:val="24"/>
        </w:rPr>
        <w:t xml:space="preserve">the </w:t>
      </w:r>
      <w:r>
        <w:rPr>
          <w:rFonts w:ascii="Arial Black" w:hAnsi="Arial Black"/>
          <w:b/>
          <w:sz w:val="24"/>
          <w:szCs w:val="24"/>
        </w:rPr>
        <w:t>group</w:t>
      </w:r>
      <w:r w:rsidR="001D6937">
        <w:rPr>
          <w:rFonts w:ascii="Arial Black" w:hAnsi="Arial Black"/>
          <w:b/>
          <w:sz w:val="24"/>
          <w:szCs w:val="24"/>
        </w:rPr>
        <w:t>’s global activities</w:t>
      </w:r>
      <w:r>
        <w:rPr>
          <w:rFonts w:ascii="Arial Black" w:hAnsi="Arial Black"/>
          <w:b/>
          <w:sz w:val="24"/>
          <w:szCs w:val="24"/>
        </w:rPr>
        <w:t xml:space="preserve"> </w:t>
      </w:r>
      <w:hyperlink r:id="rId10" w:history="1">
        <w:r w:rsidR="001D6937" w:rsidRPr="006D4359">
          <w:rPr>
            <w:rStyle w:val="Hyperlink"/>
            <w:rFonts w:ascii="Arial Black" w:hAnsi="Arial Black"/>
            <w:b/>
            <w:sz w:val="24"/>
            <w:szCs w:val="24"/>
          </w:rPr>
          <w:t>www.citigroup.com</w:t>
        </w:r>
      </w:hyperlink>
    </w:p>
    <w:p w:rsidR="0003505B" w:rsidRPr="0003505B" w:rsidRDefault="0003505B" w:rsidP="00683C5B">
      <w:pPr>
        <w:pStyle w:val="NoSpacing"/>
        <w:rPr>
          <w:rFonts w:ascii="Arial Black" w:hAnsi="Arial Black"/>
          <w:b/>
          <w:sz w:val="24"/>
          <w:szCs w:val="24"/>
        </w:rPr>
      </w:pPr>
    </w:p>
    <w:sectPr w:rsidR="0003505B" w:rsidRPr="000350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F844EE"/>
    <w:multiLevelType w:val="hybridMultilevel"/>
    <w:tmpl w:val="9586BF8A"/>
    <w:lvl w:ilvl="0" w:tplc="8BA6D9A8">
      <w:start w:val="6"/>
      <w:numFmt w:val="upperRoman"/>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nsid w:val="3FDF11A5"/>
    <w:multiLevelType w:val="hybridMultilevel"/>
    <w:tmpl w:val="23A28364"/>
    <w:lvl w:ilvl="0" w:tplc="1C090013">
      <w:start w:val="1"/>
      <w:numFmt w:val="upperRoman"/>
      <w:lvlText w:val="%1."/>
      <w:lvlJc w:val="right"/>
      <w:pPr>
        <w:ind w:left="795" w:hanging="360"/>
      </w:pPr>
    </w:lvl>
    <w:lvl w:ilvl="1" w:tplc="1C090019" w:tentative="1">
      <w:start w:val="1"/>
      <w:numFmt w:val="lowerLetter"/>
      <w:lvlText w:val="%2."/>
      <w:lvlJc w:val="left"/>
      <w:pPr>
        <w:ind w:left="1515" w:hanging="360"/>
      </w:pPr>
    </w:lvl>
    <w:lvl w:ilvl="2" w:tplc="1C09001B" w:tentative="1">
      <w:start w:val="1"/>
      <w:numFmt w:val="lowerRoman"/>
      <w:lvlText w:val="%3."/>
      <w:lvlJc w:val="right"/>
      <w:pPr>
        <w:ind w:left="2235" w:hanging="180"/>
      </w:pPr>
    </w:lvl>
    <w:lvl w:ilvl="3" w:tplc="1C09000F" w:tentative="1">
      <w:start w:val="1"/>
      <w:numFmt w:val="decimal"/>
      <w:lvlText w:val="%4."/>
      <w:lvlJc w:val="left"/>
      <w:pPr>
        <w:ind w:left="2955" w:hanging="360"/>
      </w:pPr>
    </w:lvl>
    <w:lvl w:ilvl="4" w:tplc="1C090019" w:tentative="1">
      <w:start w:val="1"/>
      <w:numFmt w:val="lowerLetter"/>
      <w:lvlText w:val="%5."/>
      <w:lvlJc w:val="left"/>
      <w:pPr>
        <w:ind w:left="3675" w:hanging="360"/>
      </w:pPr>
    </w:lvl>
    <w:lvl w:ilvl="5" w:tplc="1C09001B" w:tentative="1">
      <w:start w:val="1"/>
      <w:numFmt w:val="lowerRoman"/>
      <w:lvlText w:val="%6."/>
      <w:lvlJc w:val="right"/>
      <w:pPr>
        <w:ind w:left="4395" w:hanging="180"/>
      </w:pPr>
    </w:lvl>
    <w:lvl w:ilvl="6" w:tplc="1C09000F" w:tentative="1">
      <w:start w:val="1"/>
      <w:numFmt w:val="decimal"/>
      <w:lvlText w:val="%7."/>
      <w:lvlJc w:val="left"/>
      <w:pPr>
        <w:ind w:left="5115" w:hanging="360"/>
      </w:pPr>
    </w:lvl>
    <w:lvl w:ilvl="7" w:tplc="1C090019" w:tentative="1">
      <w:start w:val="1"/>
      <w:numFmt w:val="lowerLetter"/>
      <w:lvlText w:val="%8."/>
      <w:lvlJc w:val="left"/>
      <w:pPr>
        <w:ind w:left="5835" w:hanging="360"/>
      </w:pPr>
    </w:lvl>
    <w:lvl w:ilvl="8" w:tplc="1C09001B" w:tentative="1">
      <w:start w:val="1"/>
      <w:numFmt w:val="lowerRoman"/>
      <w:lvlText w:val="%9."/>
      <w:lvlJc w:val="right"/>
      <w:pPr>
        <w:ind w:left="6555" w:hanging="180"/>
      </w:pPr>
    </w:lvl>
  </w:abstractNum>
  <w:abstractNum w:abstractNumId="2">
    <w:nsid w:val="70D31444"/>
    <w:multiLevelType w:val="hybridMultilevel"/>
    <w:tmpl w:val="6DA84B9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813"/>
    <w:rsid w:val="0003505B"/>
    <w:rsid w:val="00082027"/>
    <w:rsid w:val="000E4DC4"/>
    <w:rsid w:val="000F0BDA"/>
    <w:rsid w:val="00107449"/>
    <w:rsid w:val="00110C56"/>
    <w:rsid w:val="0013007C"/>
    <w:rsid w:val="00143212"/>
    <w:rsid w:val="00197EBE"/>
    <w:rsid w:val="001D38ED"/>
    <w:rsid w:val="001D6937"/>
    <w:rsid w:val="002065E9"/>
    <w:rsid w:val="00213B7B"/>
    <w:rsid w:val="00227AD5"/>
    <w:rsid w:val="00253726"/>
    <w:rsid w:val="002B67C2"/>
    <w:rsid w:val="002C434F"/>
    <w:rsid w:val="002E06ED"/>
    <w:rsid w:val="002E70E9"/>
    <w:rsid w:val="00365DD9"/>
    <w:rsid w:val="003B071A"/>
    <w:rsid w:val="003C74BB"/>
    <w:rsid w:val="0042154B"/>
    <w:rsid w:val="0046157C"/>
    <w:rsid w:val="004D1B6D"/>
    <w:rsid w:val="005637BF"/>
    <w:rsid w:val="005A1538"/>
    <w:rsid w:val="005B6A91"/>
    <w:rsid w:val="00647E8B"/>
    <w:rsid w:val="00651949"/>
    <w:rsid w:val="006800B1"/>
    <w:rsid w:val="00683C5B"/>
    <w:rsid w:val="00695FE9"/>
    <w:rsid w:val="00721EFC"/>
    <w:rsid w:val="007361EE"/>
    <w:rsid w:val="007455BD"/>
    <w:rsid w:val="00750FA8"/>
    <w:rsid w:val="007B0117"/>
    <w:rsid w:val="00801D73"/>
    <w:rsid w:val="00841A3C"/>
    <w:rsid w:val="008822BB"/>
    <w:rsid w:val="008A1385"/>
    <w:rsid w:val="008D07C1"/>
    <w:rsid w:val="009020DA"/>
    <w:rsid w:val="0094033D"/>
    <w:rsid w:val="00971DEF"/>
    <w:rsid w:val="0097353E"/>
    <w:rsid w:val="009C0C1D"/>
    <w:rsid w:val="00A44EE1"/>
    <w:rsid w:val="00AE004C"/>
    <w:rsid w:val="00AE2CCC"/>
    <w:rsid w:val="00AF5A1B"/>
    <w:rsid w:val="00B03206"/>
    <w:rsid w:val="00B31813"/>
    <w:rsid w:val="00B31B67"/>
    <w:rsid w:val="00B66B44"/>
    <w:rsid w:val="00B81793"/>
    <w:rsid w:val="00B822F4"/>
    <w:rsid w:val="00BB314E"/>
    <w:rsid w:val="00BC5B80"/>
    <w:rsid w:val="00BD038B"/>
    <w:rsid w:val="00C278D9"/>
    <w:rsid w:val="00C31B11"/>
    <w:rsid w:val="00C85285"/>
    <w:rsid w:val="00C9718B"/>
    <w:rsid w:val="00CA4040"/>
    <w:rsid w:val="00CB2A89"/>
    <w:rsid w:val="00CD21AC"/>
    <w:rsid w:val="00CE16DD"/>
    <w:rsid w:val="00CE24C3"/>
    <w:rsid w:val="00CE7C8D"/>
    <w:rsid w:val="00D00FAF"/>
    <w:rsid w:val="00D21E82"/>
    <w:rsid w:val="00D24B2B"/>
    <w:rsid w:val="00D430B9"/>
    <w:rsid w:val="00DA1B73"/>
    <w:rsid w:val="00DD00EF"/>
    <w:rsid w:val="00E05047"/>
    <w:rsid w:val="00E32D37"/>
    <w:rsid w:val="00E527C3"/>
    <w:rsid w:val="00E53661"/>
    <w:rsid w:val="00EA718E"/>
    <w:rsid w:val="00ED128E"/>
    <w:rsid w:val="00ED37AB"/>
    <w:rsid w:val="00EF0B06"/>
    <w:rsid w:val="00F63FA1"/>
    <w:rsid w:val="00F715B7"/>
    <w:rsid w:val="00F7397A"/>
    <w:rsid w:val="00F8102A"/>
    <w:rsid w:val="00F82AC3"/>
    <w:rsid w:val="00F90ADF"/>
    <w:rsid w:val="00FC599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4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1813"/>
    <w:pPr>
      <w:spacing w:after="0" w:line="240" w:lineRule="auto"/>
    </w:pPr>
  </w:style>
  <w:style w:type="table" w:styleId="TableGrid">
    <w:name w:val="Table Grid"/>
    <w:basedOn w:val="TableNormal"/>
    <w:uiPriority w:val="59"/>
    <w:rsid w:val="00CE7C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65DD9"/>
    <w:rPr>
      <w:color w:val="0000FF" w:themeColor="hyperlink"/>
      <w:u w:val="single"/>
    </w:rPr>
  </w:style>
  <w:style w:type="paragraph" w:styleId="BalloonText">
    <w:name w:val="Balloon Text"/>
    <w:basedOn w:val="Normal"/>
    <w:link w:val="BalloonTextChar"/>
    <w:uiPriority w:val="99"/>
    <w:semiHidden/>
    <w:unhideWhenUsed/>
    <w:rsid w:val="004D1B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1B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4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1813"/>
    <w:pPr>
      <w:spacing w:after="0" w:line="240" w:lineRule="auto"/>
    </w:pPr>
  </w:style>
  <w:style w:type="table" w:styleId="TableGrid">
    <w:name w:val="Table Grid"/>
    <w:basedOn w:val="TableNormal"/>
    <w:uiPriority w:val="59"/>
    <w:rsid w:val="00CE7C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65DD9"/>
    <w:rPr>
      <w:color w:val="0000FF" w:themeColor="hyperlink"/>
      <w:u w:val="single"/>
    </w:rPr>
  </w:style>
  <w:style w:type="paragraph" w:styleId="BalloonText">
    <w:name w:val="Balloon Text"/>
    <w:basedOn w:val="Normal"/>
    <w:link w:val="BalloonTextChar"/>
    <w:uiPriority w:val="99"/>
    <w:semiHidden/>
    <w:unhideWhenUsed/>
    <w:rsid w:val="004D1B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1B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497101">
      <w:bodyDiv w:val="1"/>
      <w:marLeft w:val="0"/>
      <w:marRight w:val="0"/>
      <w:marTop w:val="0"/>
      <w:marBottom w:val="0"/>
      <w:divBdr>
        <w:top w:val="none" w:sz="0" w:space="0" w:color="auto"/>
        <w:left w:val="none" w:sz="0" w:space="0" w:color="auto"/>
        <w:bottom w:val="none" w:sz="0" w:space="0" w:color="auto"/>
        <w:right w:val="none" w:sz="0" w:space="0" w:color="auto"/>
      </w:divBdr>
    </w:div>
    <w:div w:id="670064877">
      <w:bodyDiv w:val="1"/>
      <w:marLeft w:val="0"/>
      <w:marRight w:val="0"/>
      <w:marTop w:val="0"/>
      <w:marBottom w:val="0"/>
      <w:divBdr>
        <w:top w:val="none" w:sz="0" w:space="0" w:color="auto"/>
        <w:left w:val="none" w:sz="0" w:space="0" w:color="auto"/>
        <w:bottom w:val="none" w:sz="0" w:space="0" w:color="auto"/>
        <w:right w:val="none" w:sz="0" w:space="0" w:color="auto"/>
      </w:divBdr>
    </w:div>
    <w:div w:id="671877569">
      <w:bodyDiv w:val="1"/>
      <w:marLeft w:val="0"/>
      <w:marRight w:val="0"/>
      <w:marTop w:val="0"/>
      <w:marBottom w:val="0"/>
      <w:divBdr>
        <w:top w:val="none" w:sz="0" w:space="0" w:color="auto"/>
        <w:left w:val="none" w:sz="0" w:space="0" w:color="auto"/>
        <w:bottom w:val="none" w:sz="0" w:space="0" w:color="auto"/>
        <w:right w:val="none" w:sz="0" w:space="0" w:color="auto"/>
      </w:divBdr>
    </w:div>
    <w:div w:id="759639126">
      <w:bodyDiv w:val="1"/>
      <w:marLeft w:val="0"/>
      <w:marRight w:val="0"/>
      <w:marTop w:val="0"/>
      <w:marBottom w:val="0"/>
      <w:divBdr>
        <w:top w:val="none" w:sz="0" w:space="0" w:color="auto"/>
        <w:left w:val="none" w:sz="0" w:space="0" w:color="auto"/>
        <w:bottom w:val="none" w:sz="0" w:space="0" w:color="auto"/>
        <w:right w:val="none" w:sz="0" w:space="0" w:color="auto"/>
      </w:divBdr>
    </w:div>
    <w:div w:id="1237402145">
      <w:bodyDiv w:val="1"/>
      <w:marLeft w:val="0"/>
      <w:marRight w:val="0"/>
      <w:marTop w:val="0"/>
      <w:marBottom w:val="0"/>
      <w:divBdr>
        <w:top w:val="none" w:sz="0" w:space="0" w:color="auto"/>
        <w:left w:val="none" w:sz="0" w:space="0" w:color="auto"/>
        <w:bottom w:val="none" w:sz="0" w:space="0" w:color="auto"/>
        <w:right w:val="none" w:sz="0" w:space="0" w:color="auto"/>
      </w:divBdr>
    </w:div>
    <w:div w:id="1349453981">
      <w:bodyDiv w:val="1"/>
      <w:marLeft w:val="0"/>
      <w:marRight w:val="0"/>
      <w:marTop w:val="0"/>
      <w:marBottom w:val="0"/>
      <w:divBdr>
        <w:top w:val="none" w:sz="0" w:space="0" w:color="auto"/>
        <w:left w:val="none" w:sz="0" w:space="0" w:color="auto"/>
        <w:bottom w:val="none" w:sz="0" w:space="0" w:color="auto"/>
        <w:right w:val="none" w:sz="0" w:space="0" w:color="auto"/>
      </w:divBdr>
    </w:div>
    <w:div w:id="1725062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sbank.co.za" TargetMode="External"/><Relationship Id="rId3" Type="http://schemas.openxmlformats.org/officeDocument/2006/relationships/styles" Target="styles.xml"/><Relationship Id="rId7" Type="http://schemas.openxmlformats.org/officeDocument/2006/relationships/hyperlink" Target="http://www.citigroup.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citigroup.com" TargetMode="External"/><Relationship Id="rId4" Type="http://schemas.microsoft.com/office/2007/relationships/stylesWithEffects" Target="stylesWithEffects.xml"/><Relationship Id="rId9" Type="http://schemas.openxmlformats.org/officeDocument/2006/relationships/hyperlink" Target="http://www.citi.com/southafrica/homepage/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EADB7A-6C89-4DB5-A8C6-74540B03D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655</Words>
  <Characters>3734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Citigroup</Company>
  <LinksUpToDate>false</LinksUpToDate>
  <CharactersWithSpaces>4381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Nolte, Clifford [ICG]</dc:creator>
  <cp:lastModifiedBy>De Matos, Elsa [FIN]</cp:lastModifiedBy>
  <cp:revision>6</cp:revision>
  <cp:lastPrinted>2016-02-03T07:26:00Z</cp:lastPrinted>
  <dcterms:created xsi:type="dcterms:W3CDTF">2016-07-29T14:39:00Z</dcterms:created>
  <dcterms:modified xsi:type="dcterms:W3CDTF">2016-08-01T09:14:00Z</dcterms:modified>
</cp:coreProperties>
</file>